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91"/>
          <w:tab w:val="center" w:pos="4153"/>
        </w:tabs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《高级管理会计》主要授课</w:t>
      </w:r>
      <w:r>
        <w:rPr>
          <w:rFonts w:hint="eastAsia"/>
          <w:b/>
          <w:sz w:val="36"/>
          <w:szCs w:val="36"/>
          <w:lang w:val="en-US" w:eastAsia="zh-CN"/>
        </w:rPr>
        <w:t>内容</w:t>
      </w:r>
      <w:bookmarkEnd w:id="0"/>
    </w:p>
    <w:p>
      <w:pPr>
        <w:tabs>
          <w:tab w:val="left" w:pos="1591"/>
          <w:tab w:val="center" w:pos="4153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（202</w:t>
      </w:r>
      <w:r>
        <w:rPr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学年春季学期期中）</w:t>
      </w:r>
    </w:p>
    <w:p>
      <w:pPr>
        <w:tabs>
          <w:tab w:val="left" w:pos="1591"/>
          <w:tab w:val="center" w:pos="4153"/>
        </w:tabs>
        <w:jc w:val="center"/>
        <w:rPr>
          <w:b/>
          <w:sz w:val="36"/>
          <w:szCs w:val="36"/>
        </w:rPr>
      </w:pPr>
    </w:p>
    <w:p>
      <w:pPr>
        <w:pStyle w:val="18"/>
        <w:ind w:firstLine="0" w:firstLineChars="0"/>
        <w:rPr>
          <w:rFonts w:eastAsia="黑体" w:asciiTheme="majorHAnsi" w:hAnsiTheme="majorHAnsi" w:cstheme="majorBidi"/>
          <w:b/>
          <w:color w:val="auto"/>
          <w:sz w:val="30"/>
          <w:szCs w:val="32"/>
        </w:rPr>
      </w:pPr>
      <w:r>
        <w:rPr>
          <w:rFonts w:hint="eastAsia" w:eastAsia="黑体" w:asciiTheme="majorHAnsi" w:hAnsiTheme="majorHAnsi" w:cstheme="majorBidi"/>
          <w:b/>
          <w:color w:val="auto"/>
          <w:sz w:val="30"/>
          <w:szCs w:val="32"/>
        </w:rPr>
        <w:t xml:space="preserve">     </w:t>
      </w:r>
      <w:r>
        <w:rPr>
          <w:rFonts w:eastAsia="黑体" w:asciiTheme="majorHAnsi" w:hAnsiTheme="majorHAnsi" w:cstheme="majorBidi"/>
          <w:b/>
          <w:color w:val="auto"/>
          <w:sz w:val="30"/>
          <w:szCs w:val="32"/>
        </w:rPr>
        <w:t>本课程为</w:t>
      </w:r>
      <w:r>
        <w:rPr>
          <w:rFonts w:hint="eastAsia" w:eastAsia="黑体" w:asciiTheme="majorHAnsi" w:hAnsiTheme="majorHAnsi" w:cstheme="majorBidi"/>
          <w:b/>
          <w:color w:val="auto"/>
          <w:sz w:val="30"/>
          <w:szCs w:val="32"/>
        </w:rPr>
        <w:t>会计学</w:t>
      </w:r>
      <w:r>
        <w:rPr>
          <w:rFonts w:eastAsia="黑体" w:asciiTheme="majorHAnsi" w:hAnsiTheme="majorHAnsi" w:cstheme="majorBidi"/>
          <w:b/>
          <w:color w:val="auto"/>
          <w:sz w:val="30"/>
          <w:szCs w:val="32"/>
        </w:rPr>
        <w:t>学硕</w:t>
      </w:r>
      <w:r>
        <w:rPr>
          <w:rFonts w:hint="eastAsia" w:eastAsia="黑体" w:asciiTheme="majorHAnsi" w:hAnsiTheme="majorHAnsi" w:cstheme="majorBidi"/>
          <w:b/>
          <w:color w:val="auto"/>
          <w:sz w:val="30"/>
          <w:szCs w:val="32"/>
        </w:rPr>
        <w:t>4</w:t>
      </w:r>
      <w:r>
        <w:rPr>
          <w:rFonts w:eastAsia="黑体" w:asciiTheme="majorHAnsi" w:hAnsiTheme="majorHAnsi" w:cstheme="majorBidi"/>
          <w:b/>
          <w:color w:val="auto"/>
          <w:sz w:val="30"/>
          <w:szCs w:val="32"/>
        </w:rPr>
        <w:t>学分</w:t>
      </w:r>
      <w:r>
        <w:rPr>
          <w:rFonts w:hint="eastAsia" w:eastAsia="黑体" w:asciiTheme="majorHAnsi" w:hAnsiTheme="majorHAnsi" w:cstheme="majorBidi"/>
          <w:b/>
          <w:color w:val="auto"/>
          <w:sz w:val="30"/>
          <w:szCs w:val="32"/>
        </w:rPr>
        <w:t>方向</w:t>
      </w:r>
      <w:r>
        <w:rPr>
          <w:rFonts w:eastAsia="黑体" w:asciiTheme="majorHAnsi" w:hAnsiTheme="majorHAnsi" w:cstheme="majorBidi"/>
          <w:b/>
          <w:color w:val="auto"/>
          <w:sz w:val="30"/>
          <w:szCs w:val="32"/>
        </w:rPr>
        <w:t>必修课</w:t>
      </w:r>
      <w:r>
        <w:rPr>
          <w:rFonts w:hint="eastAsia" w:eastAsia="黑体" w:asciiTheme="majorHAnsi" w:hAnsiTheme="majorHAnsi" w:cstheme="majorBidi"/>
          <w:b/>
          <w:color w:val="auto"/>
          <w:sz w:val="30"/>
          <w:szCs w:val="32"/>
        </w:rPr>
        <w:t>，授课人为中国财政科学研究院研究员、博士研究生导师王建新。2021学年期中至期末，主要授课内容如下：</w:t>
      </w:r>
    </w:p>
    <w:p>
      <w:pPr>
        <w:ind w:firstLine="602"/>
        <w:rPr>
          <w:rFonts w:ascii="等线" w:hAnsi="等线" w:cs="Times New Roman"/>
          <w:b/>
          <w:sz w:val="30"/>
          <w:szCs w:val="30"/>
        </w:rPr>
      </w:pPr>
    </w:p>
    <w:p>
      <w:pPr>
        <w:spacing w:line="360" w:lineRule="auto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第六讲&amp;第七讲 案例分析</w:t>
      </w: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第六讲和第七讲为案例课，采用线下授课的方式。2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级会计学硕班和2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级会计专硕班共分为8个小组进行案例展示，其中专硕班有5个组，学硕班3个组，展示顺序为专硕班——学硕班，案例的主题为作业成本法，由孟南老师进行组织和主持。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案例展示的具体流程为：每个小组先进行P</w:t>
      </w:r>
      <w:r>
        <w:rPr>
          <w:rFonts w:ascii="宋体" w:hAnsi="宋体" w:eastAsia="宋体"/>
          <w:sz w:val="24"/>
          <w:szCs w:val="24"/>
        </w:rPr>
        <w:t>PT</w:t>
      </w:r>
      <w:r>
        <w:rPr>
          <w:rFonts w:hint="eastAsia" w:ascii="宋体" w:hAnsi="宋体" w:eastAsia="宋体"/>
          <w:sz w:val="24"/>
          <w:szCs w:val="24"/>
        </w:rPr>
        <w:t>展示，在主讲人展示完成后，由小组间进行互评（两个发言的名额，如果没有同学主动发言则由老师点名发言评价），评价的同学要给出评价并提出问题，该组同学要立即现场回答同学的疑问。小组互评结束后，由老师进行点评，并提出2—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个问题，等下一组同学展示完成后，该组同学要现场回答老师所提的问题。以此类推，直至所有小组展示完成。展示结束后，各小组要利用一个周的时间对P</w:t>
      </w:r>
      <w:r>
        <w:rPr>
          <w:rFonts w:ascii="宋体" w:hAnsi="宋体" w:eastAsia="宋体"/>
          <w:sz w:val="24"/>
          <w:szCs w:val="24"/>
        </w:rPr>
        <w:t>PT</w:t>
      </w:r>
      <w:r>
        <w:rPr>
          <w:rFonts w:hint="eastAsia" w:ascii="宋体" w:hAnsi="宋体" w:eastAsia="宋体"/>
          <w:sz w:val="24"/>
          <w:szCs w:val="24"/>
        </w:rPr>
        <w:t>、整理的word进行修改提升，并上交这两份资料，还要包括组员分工。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另：所有回答和提问的同学都有课堂参与加分。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实际课堂效果反响强烈，同学们的参与度和积极度很高，虽然在被提问时会有所紧张，但在这种环节中也有很多收获，除了对作业成本法有了更深的体会之外，也锻炼了自己的表达能力。</w:t>
      </w:r>
    </w:p>
    <w:p>
      <w:pPr>
        <w:spacing w:line="360" w:lineRule="auto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第八讲  业绩评价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本次课程为线下授课，由王建新老师授课。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从本次课开始将进入到管理会计的下一个阶段：业绩评价。业绩评价是一种行动方案，是从目标到反馈的一个过程。王老师从企业评价的基本理论、评价模式以及注意的问题三个方面展开，并讲到中西方对业绩具有不同的态度：西方对业绩一般既讲过程也讲接故宫，而中国对业绩一般只讲结果。业绩评价一个很重要的作用是对人员的激励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从评价模式来讲，主要分为财务模式、价值模式和平衡模式。财务模式包括杜邦分析法、综合评价法；价值模式包括股价评价、E</w:t>
      </w:r>
      <w:r>
        <w:rPr>
          <w:rFonts w:ascii="宋体" w:hAnsi="宋体" w:eastAsia="宋体"/>
          <w:sz w:val="24"/>
          <w:szCs w:val="24"/>
        </w:rPr>
        <w:t>VA</w:t>
      </w:r>
      <w:r>
        <w:rPr>
          <w:rFonts w:hint="eastAsia" w:ascii="宋体" w:hAnsi="宋体" w:eastAsia="宋体"/>
          <w:sz w:val="24"/>
          <w:szCs w:val="24"/>
        </w:rPr>
        <w:t>评价等；平衡模式则是指B</w:t>
      </w:r>
      <w:r>
        <w:rPr>
          <w:rFonts w:ascii="宋体" w:hAnsi="宋体" w:eastAsia="宋体"/>
          <w:sz w:val="24"/>
          <w:szCs w:val="24"/>
        </w:rPr>
        <w:t>SC</w:t>
      </w:r>
      <w:r>
        <w:rPr>
          <w:rFonts w:hint="eastAsia" w:ascii="宋体" w:hAnsi="宋体" w:eastAsia="宋体"/>
          <w:sz w:val="24"/>
          <w:szCs w:val="24"/>
        </w:rPr>
        <w:t>即平衡计分卡。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章的重点便是平衡计分卡，其执行体系包括使用战略地图描述、通过平衡计分卡衡量、最后依托战略中心型组织来进行管理。平衡计分卡包括财务、客户、内部业务和学习与成长这四个层面，融合了财务指标与非财务指标，也平衡了长期目标和短期目标，是一种全面的业绩评价方法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第九讲 战略地图和个人平衡计分卡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本次课为线下授课，由王建新老师授课。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课程的主要内容为战略地图和个人平衡计分卡。老师上课时再度强调，管理会计这门课既是课程知识也是方法论，要学习思维框架。战略地图是从平衡计分卡的四个方面即财务层面、客户层面、内部流程层面和学习与成长层面来进行，通过战略地图对企业所拥有的资源进行描述，形成统领性的视野，并渗透到企业的方方面面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老师还强调到，无形资产若想发挥其价值必须依托有形资产，而企业之间的差距也往往就在与无形资产之中，常见的比如企业的人力资本、</w:t>
      </w:r>
      <w:r>
        <w:rPr>
          <w:rFonts w:ascii="宋体" w:hAnsi="宋体" w:eastAsia="宋体"/>
          <w:sz w:val="24"/>
          <w:szCs w:val="24"/>
        </w:rPr>
        <w:t>IT</w:t>
      </w:r>
      <w:r>
        <w:rPr>
          <w:rFonts w:hint="eastAsia" w:ascii="宋体" w:hAnsi="宋体" w:eastAsia="宋体"/>
          <w:sz w:val="24"/>
          <w:szCs w:val="24"/>
        </w:rPr>
        <w:t>技术、组织资本等。其实，对学生自身成长而言，也同样要重视“无形资产”。除了C</w:t>
      </w:r>
      <w:r>
        <w:rPr>
          <w:rFonts w:ascii="宋体" w:hAnsi="宋体" w:eastAsia="宋体"/>
          <w:sz w:val="24"/>
          <w:szCs w:val="24"/>
        </w:rPr>
        <w:t>PA</w:t>
      </w:r>
      <w:r>
        <w:rPr>
          <w:rFonts w:hint="eastAsia" w:ascii="宋体" w:hAnsi="宋体" w:eastAsia="宋体"/>
          <w:sz w:val="24"/>
          <w:szCs w:val="24"/>
        </w:rPr>
        <w:t>、学历证书这种“有形资产”外，也要注重自身修养、品格、精神境界的学习和进步。因此老师提出，利用我们所学的平衡计分卡的知识，编制个人平衡计分卡，来对自己的未来进行有效规划和管理。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最后老师举了个人平衡计分卡的例子，给同学们做了示范。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第十讲 资者心理和财务汇报策略、E</w:t>
      </w:r>
      <w:r>
        <w:rPr>
          <w:rFonts w:ascii="宋体" w:hAnsi="宋体" w:eastAsia="宋体"/>
          <w:sz w:val="44"/>
          <w:szCs w:val="44"/>
        </w:rPr>
        <w:t>VA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本次课程为线下授课，授课人为王建新老师，主要内容为投资者心理和财务汇报策略、E</w:t>
      </w:r>
      <w:r>
        <w:rPr>
          <w:rFonts w:ascii="宋体" w:hAnsi="宋体" w:eastAsia="宋体"/>
          <w:sz w:val="24"/>
          <w:szCs w:val="24"/>
        </w:rPr>
        <w:t>VA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老师从B</w:t>
      </w:r>
      <w:r>
        <w:rPr>
          <w:rFonts w:ascii="宋体" w:hAnsi="宋体" w:eastAsia="宋体"/>
          <w:sz w:val="24"/>
          <w:szCs w:val="24"/>
        </w:rPr>
        <w:t>SC</w:t>
      </w:r>
      <w:r>
        <w:rPr>
          <w:rFonts w:hint="eastAsia" w:ascii="宋体" w:hAnsi="宋体" w:eastAsia="宋体"/>
          <w:sz w:val="24"/>
          <w:szCs w:val="24"/>
        </w:rPr>
        <w:t>是财务指标与非财务指标之间的平衡入手，讲到只有进行了有效的描述，才可以衡量；只有进行了有效的衡量，才能进行有效的管理。描述是从四个层面去描述，而不是天马行空的描述。B</w:t>
      </w:r>
      <w:r>
        <w:rPr>
          <w:rFonts w:ascii="宋体" w:hAnsi="宋体" w:eastAsia="宋体"/>
          <w:sz w:val="24"/>
          <w:szCs w:val="24"/>
        </w:rPr>
        <w:t>SC</w:t>
      </w:r>
      <w:r>
        <w:rPr>
          <w:rFonts w:hint="eastAsia" w:ascii="宋体" w:hAnsi="宋体" w:eastAsia="宋体"/>
          <w:sz w:val="24"/>
          <w:szCs w:val="24"/>
        </w:rPr>
        <w:t>发展的最大特点是将无形资产与企业的有形资产等结合在了一起。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上市公司要进行相应的信息披露，其中一个非常重要的载体便是财务报告。财务报告传递信息的核心便是：内容一致，解释一致。在真实公允披露信息的情况下，还有哪些因素会阻碍投资者对信息的接收，引起信息不对称呢？不可忽略的便是投资者的心理因素，比如过度自信/悲观。还有一个比较著名的前景理论，简单来讲是指人们获得收益所带来的正向效用（如得到1</w:t>
      </w:r>
      <w:r>
        <w:rPr>
          <w:rFonts w:ascii="宋体" w:hAnsi="宋体" w:eastAsia="宋体"/>
          <w:sz w:val="24"/>
          <w:szCs w:val="24"/>
        </w:rPr>
        <w:t>000</w:t>
      </w:r>
      <w:r>
        <w:rPr>
          <w:rFonts w:hint="eastAsia" w:ascii="宋体" w:hAnsi="宋体" w:eastAsia="宋体"/>
          <w:sz w:val="24"/>
          <w:szCs w:val="24"/>
        </w:rPr>
        <w:t>块的喜悦）要小于人们承受同价值的损失所带来的的负面效用（如丢了1</w:t>
      </w:r>
      <w:r>
        <w:rPr>
          <w:rFonts w:ascii="宋体" w:hAnsi="宋体" w:eastAsia="宋体"/>
          <w:sz w:val="24"/>
          <w:szCs w:val="24"/>
        </w:rPr>
        <w:t>000</w:t>
      </w:r>
      <w:r>
        <w:rPr>
          <w:rFonts w:hint="eastAsia" w:ascii="宋体" w:hAnsi="宋体" w:eastAsia="宋体"/>
          <w:sz w:val="24"/>
          <w:szCs w:val="24"/>
        </w:rPr>
        <w:t>块），这也告诉我们人往往不是简单的风险规避或者风险偏好，而是在面临获得时往往是风险规避，面临损失时往往风险偏好。对企业来讲，可以选择将好消息分开公布，而将坏消息一次公布，因为人们往往对于获得并不敏感，而对损失更敏感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随后老师又从理论层面讲述了E</w:t>
      </w:r>
      <w:r>
        <w:rPr>
          <w:rFonts w:ascii="宋体" w:hAnsi="宋体" w:eastAsia="宋体"/>
          <w:sz w:val="24"/>
          <w:szCs w:val="24"/>
        </w:rPr>
        <w:t>VA</w:t>
      </w:r>
      <w:r>
        <w:rPr>
          <w:rFonts w:hint="eastAsia" w:ascii="宋体" w:hAnsi="宋体" w:eastAsia="宋体"/>
          <w:sz w:val="24"/>
          <w:szCs w:val="24"/>
        </w:rPr>
        <w:t>的作用。E</w:t>
      </w:r>
      <w:r>
        <w:rPr>
          <w:rFonts w:ascii="宋体" w:hAnsi="宋体" w:eastAsia="宋体"/>
          <w:sz w:val="24"/>
          <w:szCs w:val="24"/>
        </w:rPr>
        <w:t>VA</w:t>
      </w:r>
      <w:r>
        <w:rPr>
          <w:rFonts w:hint="eastAsia" w:ascii="宋体" w:hAnsi="宋体" w:eastAsia="宋体"/>
          <w:sz w:val="24"/>
          <w:szCs w:val="24"/>
        </w:rPr>
        <w:t>的核心在于考虑了股东投资的机会成本。它弥补了企业以利润为核心的评价体系的不足，企业往往容易忽视权益资本的成本存在。E</w:t>
      </w:r>
      <w:r>
        <w:rPr>
          <w:rFonts w:ascii="宋体" w:hAnsi="宋体" w:eastAsia="宋体"/>
          <w:sz w:val="24"/>
          <w:szCs w:val="24"/>
        </w:rPr>
        <w:t>VA</w:t>
      </w:r>
      <w:r>
        <w:rPr>
          <w:rFonts w:hint="eastAsia" w:ascii="宋体" w:hAnsi="宋体" w:eastAsia="宋体"/>
          <w:sz w:val="24"/>
          <w:szCs w:val="24"/>
        </w:rPr>
        <w:t>的具体计算、对E</w:t>
      </w:r>
      <w:r>
        <w:rPr>
          <w:rFonts w:ascii="宋体" w:hAnsi="宋体" w:eastAsia="宋体"/>
          <w:sz w:val="24"/>
          <w:szCs w:val="24"/>
        </w:rPr>
        <w:t>VA</w:t>
      </w:r>
      <w:r>
        <w:rPr>
          <w:rFonts w:hint="eastAsia" w:ascii="宋体" w:hAnsi="宋体" w:eastAsia="宋体"/>
          <w:sz w:val="24"/>
          <w:szCs w:val="24"/>
        </w:rPr>
        <w:t>的评价、企业中E</w:t>
      </w:r>
      <w:r>
        <w:rPr>
          <w:rFonts w:ascii="宋体" w:hAnsi="宋体" w:eastAsia="宋体"/>
          <w:sz w:val="24"/>
          <w:szCs w:val="24"/>
        </w:rPr>
        <w:t>VA</w:t>
      </w:r>
      <w:r>
        <w:rPr>
          <w:rFonts w:hint="eastAsia" w:ascii="宋体" w:hAnsi="宋体" w:eastAsia="宋体"/>
          <w:sz w:val="24"/>
          <w:szCs w:val="24"/>
        </w:rPr>
        <w:t>常见的应用方法、E</w:t>
      </w:r>
      <w:r>
        <w:rPr>
          <w:rFonts w:ascii="宋体" w:hAnsi="宋体" w:eastAsia="宋体"/>
          <w:sz w:val="24"/>
          <w:szCs w:val="24"/>
        </w:rPr>
        <w:t>VA</w:t>
      </w:r>
      <w:r>
        <w:rPr>
          <w:rFonts w:hint="eastAsia" w:ascii="宋体" w:hAnsi="宋体" w:eastAsia="宋体"/>
          <w:sz w:val="24"/>
          <w:szCs w:val="24"/>
        </w:rPr>
        <w:t>与B</w:t>
      </w:r>
      <w:r>
        <w:rPr>
          <w:rFonts w:ascii="宋体" w:hAnsi="宋体" w:eastAsia="宋体"/>
          <w:sz w:val="24"/>
          <w:szCs w:val="24"/>
        </w:rPr>
        <w:t>SC</w:t>
      </w:r>
      <w:r>
        <w:rPr>
          <w:rFonts w:hint="eastAsia" w:ascii="宋体" w:hAnsi="宋体" w:eastAsia="宋体"/>
          <w:sz w:val="24"/>
          <w:szCs w:val="24"/>
        </w:rPr>
        <w:t>的区别于联系等具体的知识点老师都有详细的讲解，同学们听完后很受启发。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第十一讲  合作与冲突——博弈论在管理会计的应用，黑天鹅事件对我们的启示和影响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本节课内容为合作与冲突——博弈论在管理会计的应用，黑天鹅事件对我们的启示和影响。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合作创造价值，竞争决定分配。博弈论在决策中的应用体现在谈判上，谈判任务可能是以分配为主的单议题谈判，也可能是以整合为主的多议题谈判。前者是一种零和思维，后者是将蛋糕做大。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黑天鹅现象则是指无法预知的风险。原本人们认为天鹅只有白色，可突然有一天，人们碰见了一直黑天鹅，因此才知道的黑天鹅的存在。最大的风险是你不知道风险在哪里，但我们也只能积极应对。从成本管理再到业绩评价，最后加上本堂课的风险思维，这便是管理会计的主线思路。</w:t>
      </w: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第十二讲 案例分析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本堂课为案例展示课，案例的主题为平衡计分卡，小组仍然是上次的8个组，考虑到课堂时长的限制，本次每个小组展示时间为1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分钟，并由下一组的组长进行评价，最后由老师进行点评、记录。授课老师为王建新老师。</w:t>
      </w: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第十三讲 管理哲学与管理会计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本堂课的主题为管理哲学与管理会计，由王建新老师授课。老师从“管理之道——哲学思辨”、“管理会计之魂——思维创新好领导能力的提升”、“管理者生存与发展的要素”三个层面进行展开讲解。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老师认为，哲学是世界观和方法论，是我们思考问题的方式，同时通过对古代名家如孔孟等阐述了“方法论是最基础，再往上是认识论，最后是价值观”的逻辑顺序。管理会计与哲学的联系在于，会计也是一种“数”的学问，而哲学的源头便是从“数”开始，并且借和贷本身也体现了一种阴阳平衡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管理会计中很重要的是管理，那如何认识管理者，如何成为优秀的管理者？老师认为要从小事做起，养成终身学习的习惯。并举了毛主席的例子，告诉我们要有自己的路，培养个性；同时要多实践，做到“绝知此事要躬行”。老师又阐述了个人与组织的关系，管理者生存与发展的要素等。“可为”第一，“愿为”第二。</w:t>
      </w: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第十四讲 数字化转型时代的管理会计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本次课为线上可，由北京直真科技的薛锐老师给大家讲述数字化转型时代的管理会计。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老师从影响中国会计的十大信息技术入手，并对信息化、数字化、智能化做了区分，并提到企业要提高对外部环境的响应能力。在当前背景下，企业的基础数据重构，使得企业管理会计数据的获取发生了变化。以前管理会计依赖于财务会计数据，但由于财务会计和管理会计的目标、信息的时效要求等都不一样，使得原有管理会计的信息获取和内容存在局限性。但由于心底环境出现，管理会计以一种全新的方式被激活，目的是重塑企业的经营闭环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老师还以一个国企案例作为例子，讲述了原本的财务部与管理会计之前是一个部，后来分开，在与业务密切融合的过程中做到了“消灭信息孤岛、揭开协同效应”。</w:t>
      </w: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第十五讲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本堂课为个人总结课，学硕班2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名同学各自进行PPT展示，对本学期本课程的收获与感想进行汇报。</w:t>
      </w: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第十六讲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本节课为个人平衡计分卡实践课，全班同学依照以前授课的内容来编写自己的个人平衡计分卡，并由课代表收齐后上交给老师。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57AE"/>
    <w:rsid w:val="00010499"/>
    <w:rsid w:val="000657AE"/>
    <w:rsid w:val="00105184"/>
    <w:rsid w:val="0011197C"/>
    <w:rsid w:val="00163FD3"/>
    <w:rsid w:val="001662F7"/>
    <w:rsid w:val="001820D5"/>
    <w:rsid w:val="001C438E"/>
    <w:rsid w:val="00217B38"/>
    <w:rsid w:val="0022135D"/>
    <w:rsid w:val="00227E34"/>
    <w:rsid w:val="00227F13"/>
    <w:rsid w:val="00297A1B"/>
    <w:rsid w:val="003168F2"/>
    <w:rsid w:val="00330EFF"/>
    <w:rsid w:val="003A69A9"/>
    <w:rsid w:val="003D01CB"/>
    <w:rsid w:val="00494A47"/>
    <w:rsid w:val="004C2C46"/>
    <w:rsid w:val="004E6D96"/>
    <w:rsid w:val="00530CD5"/>
    <w:rsid w:val="00567A92"/>
    <w:rsid w:val="005A1AA7"/>
    <w:rsid w:val="005A341F"/>
    <w:rsid w:val="005B4C25"/>
    <w:rsid w:val="006049E5"/>
    <w:rsid w:val="00651872"/>
    <w:rsid w:val="0067528C"/>
    <w:rsid w:val="006C6799"/>
    <w:rsid w:val="006C67A1"/>
    <w:rsid w:val="006C71A5"/>
    <w:rsid w:val="006E7246"/>
    <w:rsid w:val="00712C7E"/>
    <w:rsid w:val="007177F3"/>
    <w:rsid w:val="007813E0"/>
    <w:rsid w:val="007F337A"/>
    <w:rsid w:val="00876753"/>
    <w:rsid w:val="008B6EE7"/>
    <w:rsid w:val="008D34DD"/>
    <w:rsid w:val="00901E78"/>
    <w:rsid w:val="00953151"/>
    <w:rsid w:val="00971706"/>
    <w:rsid w:val="00981767"/>
    <w:rsid w:val="009B5642"/>
    <w:rsid w:val="009D2C8C"/>
    <w:rsid w:val="009D51DE"/>
    <w:rsid w:val="009D74E1"/>
    <w:rsid w:val="009E4040"/>
    <w:rsid w:val="00A5424A"/>
    <w:rsid w:val="00A60C34"/>
    <w:rsid w:val="00A63F64"/>
    <w:rsid w:val="00A73F6D"/>
    <w:rsid w:val="00A76D65"/>
    <w:rsid w:val="00AA3780"/>
    <w:rsid w:val="00AE28A1"/>
    <w:rsid w:val="00AF0AD1"/>
    <w:rsid w:val="00B72C05"/>
    <w:rsid w:val="00BA5AB8"/>
    <w:rsid w:val="00BC1E00"/>
    <w:rsid w:val="00BE4C45"/>
    <w:rsid w:val="00BE4CA6"/>
    <w:rsid w:val="00BF5F4B"/>
    <w:rsid w:val="00C24E67"/>
    <w:rsid w:val="00C60789"/>
    <w:rsid w:val="00C809EE"/>
    <w:rsid w:val="00CC2A33"/>
    <w:rsid w:val="00CE309D"/>
    <w:rsid w:val="00CE32E9"/>
    <w:rsid w:val="00D357F3"/>
    <w:rsid w:val="00D67DF8"/>
    <w:rsid w:val="00D7460F"/>
    <w:rsid w:val="00D930D0"/>
    <w:rsid w:val="00D97C6C"/>
    <w:rsid w:val="00E06A5D"/>
    <w:rsid w:val="00EB4D63"/>
    <w:rsid w:val="00EC2E1F"/>
    <w:rsid w:val="00F01A4C"/>
    <w:rsid w:val="00F01CF7"/>
    <w:rsid w:val="00F5591E"/>
    <w:rsid w:val="00FB36AE"/>
    <w:rsid w:val="00FE4BD4"/>
    <w:rsid w:val="00FF4885"/>
    <w:rsid w:val="00FF4F74"/>
    <w:rsid w:val="2F804B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Lines="100" w:afterLines="100" w:line="276" w:lineRule="auto"/>
      <w:contextualSpacing/>
      <w:outlineLvl w:val="0"/>
    </w:pPr>
    <w:rPr>
      <w:rFonts w:eastAsia="黑体" w:asciiTheme="majorHAnsi" w:hAnsiTheme="majorHAnsi" w:cstheme="majorBidi"/>
      <w:smallCaps/>
      <w:spacing w:val="5"/>
      <w:kern w:val="0"/>
      <w:sz w:val="28"/>
      <w:szCs w:val="36"/>
    </w:rPr>
  </w:style>
  <w:style w:type="paragraph" w:styleId="3">
    <w:name w:val="heading 2"/>
    <w:basedOn w:val="1"/>
    <w:next w:val="1"/>
    <w:link w:val="11"/>
    <w:unhideWhenUsed/>
    <w:qFormat/>
    <w:uiPriority w:val="9"/>
    <w:pPr>
      <w:widowControl/>
      <w:spacing w:before="200" w:line="271" w:lineRule="auto"/>
      <w:outlineLvl w:val="1"/>
    </w:pPr>
    <w:rPr>
      <w:rFonts w:asciiTheme="majorHAnsi" w:hAnsiTheme="majorHAnsi" w:eastAsiaTheme="majorEastAsia" w:cstheme="majorBidi"/>
      <w:smallCaps/>
      <w:kern w:val="0"/>
      <w:sz w:val="28"/>
      <w:szCs w:val="28"/>
    </w:rPr>
  </w:style>
  <w:style w:type="paragraph" w:styleId="4">
    <w:name w:val="heading 3"/>
    <w:basedOn w:val="1"/>
    <w:next w:val="1"/>
    <w:link w:val="12"/>
    <w:unhideWhenUsed/>
    <w:qFormat/>
    <w:uiPriority w:val="9"/>
    <w:pPr>
      <w:widowControl/>
      <w:spacing w:before="200" w:line="271" w:lineRule="auto"/>
      <w:outlineLvl w:val="2"/>
    </w:pPr>
    <w:rPr>
      <w:rFonts w:asciiTheme="majorHAnsi" w:hAnsiTheme="majorHAnsi" w:eastAsiaTheme="majorEastAsia" w:cstheme="majorBidi"/>
      <w:i/>
      <w:iCs/>
      <w:smallCaps/>
      <w:spacing w:val="5"/>
      <w:kern w:val="0"/>
      <w:sz w:val="26"/>
      <w:szCs w:val="2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uiPriority w:val="9"/>
    <w:rPr>
      <w:rFonts w:eastAsia="黑体" w:asciiTheme="majorHAnsi" w:hAnsiTheme="majorHAnsi" w:cstheme="majorBidi"/>
      <w:smallCaps/>
      <w:spacing w:val="5"/>
      <w:kern w:val="0"/>
      <w:sz w:val="28"/>
      <w:szCs w:val="36"/>
    </w:rPr>
  </w:style>
  <w:style w:type="character" w:customStyle="1" w:styleId="11">
    <w:name w:val="标题 2 Char"/>
    <w:basedOn w:val="9"/>
    <w:link w:val="3"/>
    <w:uiPriority w:val="9"/>
    <w:rPr>
      <w:rFonts w:asciiTheme="majorHAnsi" w:hAnsiTheme="majorHAnsi" w:eastAsiaTheme="majorEastAsia" w:cstheme="majorBidi"/>
      <w:smallCaps/>
      <w:kern w:val="0"/>
      <w:sz w:val="28"/>
      <w:szCs w:val="28"/>
    </w:rPr>
  </w:style>
  <w:style w:type="character" w:customStyle="1" w:styleId="12">
    <w:name w:val="标题 3 Char"/>
    <w:basedOn w:val="9"/>
    <w:link w:val="4"/>
    <w:uiPriority w:val="9"/>
    <w:rPr>
      <w:rFonts w:asciiTheme="majorHAnsi" w:hAnsiTheme="majorHAnsi" w:eastAsiaTheme="majorEastAsia" w:cstheme="majorBidi"/>
      <w:i/>
      <w:iCs/>
      <w:smallCaps/>
      <w:spacing w:val="5"/>
      <w:kern w:val="0"/>
      <w:sz w:val="26"/>
      <w:szCs w:val="26"/>
    </w:rPr>
  </w:style>
  <w:style w:type="paragraph" w:customStyle="1" w:styleId="13">
    <w:name w:val="附件正文"/>
    <w:link w:val="14"/>
    <w:qFormat/>
    <w:uiPriority w:val="0"/>
    <w:pPr>
      <w:spacing w:after="200" w:line="276" w:lineRule="auto"/>
    </w:pPr>
    <w:rPr>
      <w:rFonts w:asciiTheme="majorHAnsi" w:hAnsiTheme="majorHAnsi" w:eastAsiaTheme="majorEastAsia" w:cstheme="majorBidi"/>
      <w:kern w:val="0"/>
      <w:sz w:val="22"/>
      <w:szCs w:val="22"/>
      <w:lang w:val="en-US" w:eastAsia="zh-CN" w:bidi="ar-SA"/>
    </w:rPr>
  </w:style>
  <w:style w:type="character" w:customStyle="1" w:styleId="14">
    <w:name w:val="附件正文 Char"/>
    <w:basedOn w:val="9"/>
    <w:link w:val="13"/>
    <w:uiPriority w:val="0"/>
    <w:rPr>
      <w:rFonts w:asciiTheme="majorHAnsi" w:hAnsiTheme="majorHAnsi" w:eastAsiaTheme="majorEastAsia" w:cstheme="majorBidi"/>
      <w:kern w:val="0"/>
      <w:sz w:val="22"/>
    </w:rPr>
  </w:style>
  <w:style w:type="character" w:customStyle="1" w:styleId="15">
    <w:name w:val="页眉 Char"/>
    <w:basedOn w:val="9"/>
    <w:link w:val="6"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正文2"/>
    <w:basedOn w:val="1"/>
    <w:qFormat/>
    <w:uiPriority w:val="0"/>
    <w:pPr>
      <w:spacing w:line="300" w:lineRule="auto"/>
      <w:ind w:firstLine="420" w:firstLineChars="200"/>
    </w:pPr>
    <w:rPr>
      <w:rFonts w:ascii="Arial" w:eastAsia="宋体" w:cs="Arial"/>
      <w:bCs/>
      <w:color w:val="00000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483</Words>
  <Characters>2757</Characters>
  <Lines>22</Lines>
  <Paragraphs>6</Paragraphs>
  <TotalTime>369</TotalTime>
  <ScaleCrop>false</ScaleCrop>
  <LinksUpToDate>false</LinksUpToDate>
  <CharactersWithSpaces>3234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2021-04-11T02:13:00Z</dcterms:created>
  <dc:creator>C lockwise</dc:creator>
  <cp:lastModifiedBy>赵琪</cp:lastModifiedBy>
  <dcterms:modified xsi:type="dcterms:W3CDTF">2021-07-08T03:36:10Z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975A49D047F64CE9AC1EBBFAE7480EC8</vt:lpwstr>
  </property>
</Properties>
</file>