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firstLine="602" w:firstLineChars="200"/>
        <w:jc w:val="center"/>
        <w:rPr>
          <w:rFonts w:eastAsia="宋体"/>
          <w:b/>
          <w:sz w:val="30"/>
          <w:szCs w:val="30"/>
        </w:rPr>
      </w:pPr>
      <w:r>
        <w:rPr>
          <w:rFonts w:hint="eastAsia" w:eastAsia="宋体"/>
          <w:b/>
          <w:sz w:val="30"/>
          <w:szCs w:val="30"/>
        </w:rPr>
        <w:t>《数字财政》主要授课内容</w:t>
      </w:r>
    </w:p>
    <w:p>
      <w:pPr>
        <w:ind w:firstLine="602" w:firstLineChars="200"/>
        <w:jc w:val="center"/>
        <w:rPr>
          <w:rFonts w:eastAsia="宋体"/>
          <w:b/>
          <w:sz w:val="30"/>
          <w:szCs w:val="30"/>
        </w:rPr>
      </w:pPr>
      <w:r>
        <w:rPr>
          <w:rFonts w:hint="eastAsia" w:eastAsia="宋体"/>
          <w:b/>
          <w:sz w:val="30"/>
          <w:szCs w:val="30"/>
        </w:rPr>
        <w:t>（202</w:t>
      </w:r>
      <w:r>
        <w:rPr>
          <w:rFonts w:eastAsia="宋体"/>
          <w:b/>
          <w:sz w:val="30"/>
          <w:szCs w:val="30"/>
        </w:rPr>
        <w:t>1</w:t>
      </w:r>
      <w:r>
        <w:rPr>
          <w:rFonts w:hint="eastAsia" w:eastAsia="宋体"/>
          <w:b/>
          <w:sz w:val="30"/>
          <w:szCs w:val="30"/>
        </w:rPr>
        <w:t>学年春季学期期末）</w:t>
      </w:r>
    </w:p>
    <w:p>
      <w:pPr>
        <w:ind w:firstLine="562" w:firstLineChars="200"/>
        <w:jc w:val="center"/>
        <w:rPr>
          <w:rFonts w:eastAsia="宋体"/>
          <w:b/>
          <w:sz w:val="28"/>
          <w:szCs w:val="22"/>
        </w:rPr>
      </w:pPr>
    </w:p>
    <w:p>
      <w:pPr>
        <w:ind w:firstLine="562" w:firstLineChars="200"/>
        <w:rPr>
          <w:rFonts w:hint="eastAsia" w:ascii="等线" w:hAnsi="等线" w:cs="Times New Roman"/>
          <w:b/>
          <w:sz w:val="30"/>
          <w:szCs w:val="30"/>
        </w:rPr>
      </w:pPr>
      <w:r>
        <w:rPr>
          <w:rFonts w:hint="eastAsia" w:eastAsia="宋体"/>
          <w:b/>
          <w:bCs/>
          <w:sz w:val="28"/>
          <w:szCs w:val="22"/>
        </w:rPr>
        <w:t>本课程为财政学学硕（数字财政方向）研究生3学分专业必修课，课程主持人为中国财政科学研究院公共收入研究中心负责人、研究员、博士生导师梁季和中国财政科学研究院宏观经济研究中心副主任、研究员、博士生导师王志刚，</w:t>
      </w:r>
      <w:r>
        <w:rPr>
          <w:rFonts w:hint="eastAsia" w:ascii="等线" w:hAnsi="等线" w:cs="Times New Roman"/>
          <w:b/>
          <w:sz w:val="30"/>
          <w:szCs w:val="30"/>
        </w:rPr>
        <w:t>本学期主要授课内容如下：</w:t>
      </w:r>
    </w:p>
    <w:p>
      <w:pPr>
        <w:ind w:firstLine="562" w:firstLineChars="200"/>
        <w:rPr>
          <w:rFonts w:eastAsia="宋体"/>
          <w:b/>
          <w:bCs/>
          <w:sz w:val="28"/>
          <w:szCs w:val="22"/>
        </w:rPr>
      </w:pPr>
    </w:p>
    <w:p>
      <w:pPr>
        <w:ind w:firstLine="562" w:firstLineChars="200"/>
        <w:jc w:val="center"/>
        <w:rPr>
          <w:rFonts w:eastAsia="宋体"/>
          <w:b/>
          <w:sz w:val="28"/>
          <w:szCs w:val="22"/>
        </w:rPr>
      </w:pPr>
      <w:r>
        <w:rPr>
          <w:rFonts w:hint="eastAsia" w:eastAsia="宋体"/>
          <w:b/>
          <w:sz w:val="28"/>
          <w:szCs w:val="22"/>
        </w:rPr>
        <w:t>第一讲 文献导读：《数字经济2</w:t>
      </w:r>
      <w:r>
        <w:rPr>
          <w:rFonts w:eastAsia="宋体"/>
          <w:b/>
          <w:sz w:val="28"/>
          <w:szCs w:val="22"/>
        </w:rPr>
        <w:t>.0</w:t>
      </w:r>
      <w:r>
        <w:rPr>
          <w:rFonts w:hint="eastAsia" w:eastAsia="宋体"/>
          <w:b/>
          <w:sz w:val="28"/>
          <w:szCs w:val="22"/>
        </w:rPr>
        <w:t>报告》（上）</w:t>
      </w:r>
    </w:p>
    <w:p>
      <w:pPr>
        <w:ind w:firstLine="562" w:firstLineChars="200"/>
        <w:rPr>
          <w:rFonts w:eastAsia="宋体"/>
          <w:b/>
          <w:sz w:val="28"/>
          <w:szCs w:val="22"/>
        </w:rPr>
      </w:pPr>
      <w:r>
        <w:rPr>
          <w:rFonts w:hint="eastAsia" w:eastAsia="宋体"/>
          <w:b/>
          <w:sz w:val="28"/>
          <w:szCs w:val="22"/>
        </w:rPr>
        <w:t xml:space="preserve">                 主讲人：梁季</w:t>
      </w:r>
    </w:p>
    <w:p>
      <w:pPr>
        <w:rPr>
          <w:rFonts w:eastAsia="宋体"/>
          <w:b/>
          <w:sz w:val="28"/>
          <w:szCs w:val="22"/>
        </w:rPr>
      </w:pPr>
      <w:r>
        <w:rPr>
          <w:rFonts w:eastAsia="宋体"/>
          <w:b/>
          <w:sz w:val="28"/>
          <w:szCs w:val="22"/>
        </w:rPr>
        <w:drawing>
          <wp:inline distT="0" distB="0" distL="0" distR="0">
            <wp:extent cx="5261610" cy="4058285"/>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5261610" cy="4058285"/>
                    </a:xfrm>
                    <a:prstGeom prst="rect">
                      <a:avLst/>
                    </a:prstGeom>
                    <a:noFill/>
                    <a:ln>
                      <a:noFill/>
                    </a:ln>
                  </pic:spPr>
                </pic:pic>
              </a:graphicData>
            </a:graphic>
          </wp:inline>
        </w:drawing>
      </w:r>
    </w:p>
    <w:p>
      <w:pPr>
        <w:ind w:firstLine="560" w:firstLineChars="200"/>
        <w:rPr>
          <w:rFonts w:eastAsia="宋体"/>
          <w:sz w:val="28"/>
          <w:szCs w:val="22"/>
        </w:rPr>
      </w:pPr>
      <w:r>
        <w:rPr>
          <w:rFonts w:hint="eastAsia" w:eastAsia="宋体"/>
          <w:sz w:val="28"/>
          <w:szCs w:val="22"/>
        </w:rPr>
        <w:t>本节主要对《数字经济2</w:t>
      </w:r>
      <w:r>
        <w:rPr>
          <w:rFonts w:eastAsia="宋体"/>
          <w:sz w:val="28"/>
          <w:szCs w:val="22"/>
        </w:rPr>
        <w:t>.0</w:t>
      </w:r>
      <w:r>
        <w:rPr>
          <w:rFonts w:hint="eastAsia" w:eastAsia="宋体"/>
          <w:sz w:val="28"/>
          <w:szCs w:val="22"/>
        </w:rPr>
        <w:t>报告——告别公司，拥抱平台》一文的前半部分进行导读：</w:t>
      </w:r>
    </w:p>
    <w:p>
      <w:pPr>
        <w:ind w:firstLine="560" w:firstLineChars="200"/>
        <w:rPr>
          <w:rFonts w:eastAsia="宋体"/>
          <w:sz w:val="28"/>
          <w:szCs w:val="22"/>
        </w:rPr>
      </w:pPr>
      <w:r>
        <w:rPr>
          <w:rFonts w:hint="eastAsia" w:eastAsia="宋体"/>
          <w:sz w:val="28"/>
          <w:szCs w:val="22"/>
        </w:rPr>
        <w:t>从1</w:t>
      </w:r>
      <w:r>
        <w:rPr>
          <w:rFonts w:eastAsia="宋体"/>
          <w:sz w:val="28"/>
          <w:szCs w:val="22"/>
        </w:rPr>
        <w:t>946</w:t>
      </w:r>
      <w:r>
        <w:rPr>
          <w:rFonts w:hint="eastAsia" w:eastAsia="宋体"/>
          <w:sz w:val="28"/>
          <w:szCs w:val="22"/>
        </w:rPr>
        <w:t>年到2</w:t>
      </w:r>
      <w:r>
        <w:rPr>
          <w:rFonts w:eastAsia="宋体"/>
          <w:sz w:val="28"/>
          <w:szCs w:val="22"/>
        </w:rPr>
        <w:t>016</w:t>
      </w:r>
      <w:r>
        <w:rPr>
          <w:rFonts w:hint="eastAsia" w:eastAsia="宋体"/>
          <w:sz w:val="28"/>
          <w:szCs w:val="22"/>
        </w:rPr>
        <w:t>年，数字技术不断发展，全球数字经济发展进入2</w:t>
      </w:r>
      <w:r>
        <w:rPr>
          <w:rFonts w:eastAsia="宋体"/>
          <w:sz w:val="28"/>
          <w:szCs w:val="22"/>
        </w:rPr>
        <w:t>.0</w:t>
      </w:r>
      <w:r>
        <w:rPr>
          <w:rFonts w:hint="eastAsia" w:eastAsia="宋体"/>
          <w:sz w:val="28"/>
          <w:szCs w:val="22"/>
        </w:rPr>
        <w:t>阶段，主要表现为技术拓展经济边界，数据驱动经济增长，技术驱动发展范式持续创新，在线常态化和协同治理渐成共识。数字经济1</w:t>
      </w:r>
      <w:r>
        <w:rPr>
          <w:rFonts w:eastAsia="宋体"/>
          <w:sz w:val="28"/>
          <w:szCs w:val="22"/>
        </w:rPr>
        <w:t>.0</w:t>
      </w:r>
      <w:r>
        <w:rPr>
          <w:rFonts w:hint="eastAsia" w:eastAsia="宋体"/>
          <w:sz w:val="28"/>
          <w:szCs w:val="22"/>
        </w:rPr>
        <w:t>和2</w:t>
      </w:r>
      <w:r>
        <w:rPr>
          <w:rFonts w:eastAsia="宋体"/>
          <w:sz w:val="28"/>
          <w:szCs w:val="22"/>
        </w:rPr>
        <w:t>.0</w:t>
      </w:r>
      <w:r>
        <w:rPr>
          <w:rFonts w:hint="eastAsia" w:eastAsia="宋体"/>
          <w:sz w:val="28"/>
          <w:szCs w:val="22"/>
        </w:rPr>
        <w:t>在基础设施、技术水平、业务方向、组织架构等方面都存在着根本性的不同，最本质的区别则来源于I</w:t>
      </w:r>
      <w:r>
        <w:rPr>
          <w:rFonts w:eastAsia="宋体"/>
          <w:sz w:val="28"/>
          <w:szCs w:val="22"/>
        </w:rPr>
        <w:t>T</w:t>
      </w:r>
      <w:r>
        <w:rPr>
          <w:rFonts w:hint="eastAsia" w:eastAsia="宋体"/>
          <w:sz w:val="28"/>
          <w:szCs w:val="22"/>
        </w:rPr>
        <w:t>化向D</w:t>
      </w:r>
      <w:r>
        <w:rPr>
          <w:rFonts w:eastAsia="宋体"/>
          <w:sz w:val="28"/>
          <w:szCs w:val="22"/>
        </w:rPr>
        <w:t>T</w:t>
      </w:r>
      <w:r>
        <w:rPr>
          <w:rFonts w:hint="eastAsia" w:eastAsia="宋体"/>
          <w:sz w:val="28"/>
          <w:szCs w:val="22"/>
        </w:rPr>
        <w:t>化的演变。</w:t>
      </w:r>
    </w:p>
    <w:p>
      <w:pPr>
        <w:ind w:firstLine="560" w:firstLineChars="200"/>
        <w:rPr>
          <w:rFonts w:eastAsia="宋体"/>
          <w:sz w:val="28"/>
          <w:szCs w:val="22"/>
        </w:rPr>
      </w:pPr>
      <w:r>
        <w:rPr>
          <w:rFonts w:hint="eastAsia" w:eastAsia="宋体"/>
          <w:sz w:val="28"/>
          <w:szCs w:val="22"/>
        </w:rPr>
        <w:t>架构在新的数字技术基础设施之上的数字经济2.0，具有平台化、数据化、普惠化三大特征。具体而言，首先，平台是数字经济2</w:t>
      </w:r>
      <w:r>
        <w:rPr>
          <w:rFonts w:eastAsia="宋体"/>
          <w:sz w:val="28"/>
          <w:szCs w:val="22"/>
        </w:rPr>
        <w:t>.0</w:t>
      </w:r>
      <w:r>
        <w:rPr>
          <w:rFonts w:hint="eastAsia" w:eastAsia="宋体"/>
          <w:sz w:val="28"/>
          <w:szCs w:val="22"/>
        </w:rPr>
        <w:t>的基础，互联网平台依托“云网端”新基础设施，使得供应商和消费者的距离大大缩短，为买卖双方提供了基础、标准的服务，生态系统内各种服务商则进一步提供个性化服务，借助数字经济2</w:t>
      </w:r>
      <w:r>
        <w:rPr>
          <w:rFonts w:eastAsia="宋体"/>
          <w:sz w:val="28"/>
          <w:szCs w:val="22"/>
        </w:rPr>
        <w:t>.0</w:t>
      </w:r>
      <w:r>
        <w:rPr>
          <w:rFonts w:hint="eastAsia" w:eastAsia="宋体"/>
          <w:sz w:val="28"/>
          <w:szCs w:val="22"/>
        </w:rPr>
        <w:t>平台，超大规模的协作得以实现。其次，不同于工业时代的有限数据流动和在线化范围有限，数字经济2.0 时代下，“数据+ 算法+ 产品”的运作方式日益主流，并最终趋向于一个“智能化”的形态，数据的流动与共享推动着商业流程跨越企业边界，编织全新的生态网络与价值网络。最后，在数字经济2.0 环境中，“人人参与、共建共享”的特点，实现了普惠科技、普惠金融和普惠贸易。</w:t>
      </w:r>
    </w:p>
    <w:p>
      <w:pPr>
        <w:ind w:firstLine="560" w:firstLineChars="200"/>
        <w:rPr>
          <w:rFonts w:eastAsia="宋体"/>
          <w:sz w:val="28"/>
          <w:szCs w:val="22"/>
        </w:rPr>
      </w:pPr>
    </w:p>
    <w:p>
      <w:pPr>
        <w:ind w:firstLine="562" w:firstLineChars="200"/>
        <w:jc w:val="center"/>
        <w:rPr>
          <w:rFonts w:eastAsia="宋体"/>
          <w:b/>
          <w:sz w:val="28"/>
          <w:szCs w:val="22"/>
        </w:rPr>
      </w:pPr>
      <w:r>
        <w:rPr>
          <w:rFonts w:hint="eastAsia" w:eastAsia="宋体"/>
          <w:b/>
          <w:sz w:val="28"/>
          <w:szCs w:val="22"/>
        </w:rPr>
        <w:t>第二讲 数字财政导论</w:t>
      </w:r>
    </w:p>
    <w:p>
      <w:pPr>
        <w:ind w:firstLine="562" w:firstLineChars="200"/>
        <w:jc w:val="center"/>
        <w:rPr>
          <w:rFonts w:eastAsia="宋体"/>
          <w:b/>
          <w:bCs/>
          <w:sz w:val="28"/>
          <w:szCs w:val="22"/>
        </w:rPr>
      </w:pPr>
      <w:r>
        <w:rPr>
          <w:rFonts w:hint="eastAsia" w:eastAsia="宋体"/>
          <w:b/>
          <w:bCs/>
          <w:sz w:val="28"/>
          <w:szCs w:val="22"/>
        </w:rPr>
        <w:t>主讲人：王志刚</w:t>
      </w:r>
    </w:p>
    <w:p>
      <w:pPr>
        <w:ind w:firstLine="560" w:firstLineChars="200"/>
        <w:rPr>
          <w:rFonts w:eastAsia="宋体"/>
          <w:sz w:val="28"/>
          <w:szCs w:val="22"/>
        </w:rPr>
      </w:pPr>
      <w:r>
        <w:rPr>
          <w:rFonts w:hint="eastAsia" w:eastAsia="宋体"/>
          <w:sz w:val="28"/>
          <w:szCs w:val="22"/>
        </w:rPr>
        <w:t>本节主要对数字经济和数字财政的相关问题进行概览：</w:t>
      </w:r>
    </w:p>
    <w:p>
      <w:pPr>
        <w:ind w:firstLine="560" w:firstLineChars="200"/>
        <w:rPr>
          <w:rFonts w:eastAsia="宋体"/>
          <w:sz w:val="28"/>
          <w:szCs w:val="22"/>
        </w:rPr>
      </w:pPr>
      <w:r>
        <w:rPr>
          <w:rFonts w:hint="eastAsia" w:eastAsia="宋体"/>
          <w:sz w:val="28"/>
          <w:szCs w:val="22"/>
        </w:rPr>
        <w:t>疫情冲击下数字化进程明显加速，数字技术向生产生活领域和公共治理领域广泛渗透。作为数字经济大国，我国后发优势显著，但同时也面临着诸多机遇和挑战，包括数字化与实体经济的融合、数字化产权的保护、数字鸿沟和数字垄断等问题。在这一背景下，我们必须对数字经济有一个基本的认识，并基于理论基础和实践经验展开对现实问题的思考。</w:t>
      </w:r>
    </w:p>
    <w:p>
      <w:pPr>
        <w:ind w:firstLine="560" w:firstLineChars="200"/>
        <w:rPr>
          <w:rFonts w:eastAsia="宋体"/>
          <w:sz w:val="28"/>
          <w:szCs w:val="22"/>
        </w:rPr>
      </w:pPr>
      <w:r>
        <w:rPr>
          <w:rFonts w:hint="eastAsia" w:eastAsia="宋体"/>
          <w:sz w:val="28"/>
          <w:szCs w:val="22"/>
        </w:rPr>
        <w:t>数字经济是基于互联网等现代信息技术进行的经济活动的总和，2</w:t>
      </w:r>
      <w:r>
        <w:rPr>
          <w:rFonts w:eastAsia="宋体"/>
          <w:sz w:val="28"/>
          <w:szCs w:val="22"/>
        </w:rPr>
        <w:t>021</w:t>
      </w:r>
      <w:r>
        <w:rPr>
          <w:rFonts w:hint="eastAsia" w:eastAsia="宋体"/>
          <w:sz w:val="28"/>
          <w:szCs w:val="22"/>
        </w:rPr>
        <w:t>年政府工作报告提出要协同推进数字产业化和产业数字化转型，新基建的深入推进更为数字经济发展注入新动能。然而，许宪春指出，随处可见的数字经济却唯独无法在经济指标中找到，因此数字经济的测度是当下数字经济研究领域的一个重要命题</w:t>
      </w:r>
    </w:p>
    <w:p>
      <w:pPr>
        <w:ind w:firstLine="560" w:firstLineChars="200"/>
        <w:rPr>
          <w:rFonts w:eastAsia="宋体"/>
          <w:sz w:val="28"/>
          <w:szCs w:val="22"/>
        </w:rPr>
      </w:pPr>
      <w:r>
        <w:rPr>
          <w:rFonts w:hint="eastAsia" w:eastAsia="宋体"/>
          <w:sz w:val="28"/>
          <w:szCs w:val="22"/>
        </w:rPr>
        <w:t>财政是国家治理的基础和重要支柱，是利益调节的枢纽和平衡器，财政数字化转型是政府数字化转型的重要组成部分，其关键是打造数字财政，数字财政是构建现代财政制度的必然选择，另一方面数字化下政府治理和财政转型也面临着规范和监管方面的挑战。</w:t>
      </w:r>
    </w:p>
    <w:p>
      <w:pPr>
        <w:ind w:firstLine="560" w:firstLineChars="200"/>
        <w:rPr>
          <w:rFonts w:eastAsia="宋体"/>
          <w:sz w:val="28"/>
          <w:szCs w:val="22"/>
        </w:rPr>
      </w:pPr>
    </w:p>
    <w:p>
      <w:pPr>
        <w:ind w:firstLine="562" w:firstLineChars="200"/>
        <w:jc w:val="center"/>
        <w:rPr>
          <w:rFonts w:eastAsia="宋体"/>
          <w:b/>
          <w:sz w:val="28"/>
          <w:szCs w:val="22"/>
        </w:rPr>
      </w:pPr>
      <w:r>
        <w:rPr>
          <w:rFonts w:hint="eastAsia" w:eastAsia="宋体"/>
          <w:b/>
          <w:sz w:val="28"/>
          <w:szCs w:val="22"/>
        </w:rPr>
        <w:t>第三讲  数字化转型下的以数治税智慧税务</w:t>
      </w:r>
    </w:p>
    <w:p>
      <w:pPr>
        <w:ind w:firstLine="562" w:firstLineChars="200"/>
        <w:jc w:val="center"/>
        <w:rPr>
          <w:rFonts w:eastAsia="宋体"/>
          <w:b/>
          <w:sz w:val="28"/>
          <w:szCs w:val="22"/>
        </w:rPr>
      </w:pPr>
      <w:r>
        <w:rPr>
          <w:rFonts w:hint="eastAsia" w:eastAsia="宋体"/>
          <w:b/>
          <w:sz w:val="28"/>
          <w:szCs w:val="22"/>
        </w:rPr>
        <w:t>主讲人：孙国光</w:t>
      </w:r>
    </w:p>
    <w:p>
      <w:pPr>
        <w:jc w:val="left"/>
        <w:rPr>
          <w:rFonts w:eastAsia="宋体"/>
          <w:b/>
          <w:sz w:val="28"/>
          <w:szCs w:val="22"/>
        </w:rPr>
      </w:pPr>
    </w:p>
    <w:p>
      <w:pPr>
        <w:jc w:val="left"/>
        <w:rPr>
          <w:rFonts w:eastAsia="宋体"/>
          <w:b/>
          <w:sz w:val="28"/>
          <w:szCs w:val="22"/>
        </w:rPr>
      </w:pPr>
      <w:r>
        <w:rPr>
          <w:rFonts w:eastAsia="宋体"/>
          <w:b/>
          <w:sz w:val="28"/>
          <w:szCs w:val="22"/>
        </w:rPr>
        <w:drawing>
          <wp:inline distT="0" distB="0" distL="0" distR="0">
            <wp:extent cx="5261610" cy="291909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5261610" cy="2919095"/>
                    </a:xfrm>
                    <a:prstGeom prst="rect">
                      <a:avLst/>
                    </a:prstGeom>
                    <a:noFill/>
                    <a:ln>
                      <a:noFill/>
                    </a:ln>
                  </pic:spPr>
                </pic:pic>
              </a:graphicData>
            </a:graphic>
          </wp:inline>
        </w:drawing>
      </w:r>
    </w:p>
    <w:p>
      <w:pPr>
        <w:ind w:firstLine="560" w:firstLineChars="200"/>
        <w:rPr>
          <w:rFonts w:eastAsia="宋体"/>
          <w:sz w:val="28"/>
          <w:szCs w:val="22"/>
        </w:rPr>
      </w:pPr>
      <w:r>
        <w:rPr>
          <w:rFonts w:hint="eastAsia" w:eastAsia="宋体"/>
          <w:sz w:val="28"/>
          <w:szCs w:val="22"/>
        </w:rPr>
        <w:t>本次讲座主要介绍了当下以数治税智慧税务的整体架构，并梳理了金税一期至今智慧税务建设的推进历程：</w:t>
      </w:r>
    </w:p>
    <w:p>
      <w:pPr>
        <w:ind w:firstLine="560" w:firstLineChars="200"/>
        <w:rPr>
          <w:rFonts w:eastAsia="宋体"/>
          <w:sz w:val="28"/>
          <w:szCs w:val="22"/>
        </w:rPr>
      </w:pPr>
      <w:r>
        <w:rPr>
          <w:rFonts w:hint="eastAsia" w:eastAsia="宋体"/>
          <w:sz w:val="28"/>
          <w:szCs w:val="22"/>
        </w:rPr>
        <w:t>随着税收在国家治理能力和治理体系中的地位愈发凸显，税收征管征管改革进一步深化，数字化转型下必须优化税务执法方式、推动税务执法、服务、监管的理念方式手段变革。</w:t>
      </w:r>
    </w:p>
    <w:p>
      <w:pPr>
        <w:ind w:firstLine="560" w:firstLineChars="200"/>
        <w:rPr>
          <w:rFonts w:eastAsia="宋体"/>
          <w:sz w:val="28"/>
          <w:szCs w:val="22"/>
        </w:rPr>
      </w:pPr>
      <w:r>
        <w:rPr>
          <w:rFonts w:hint="eastAsia" w:eastAsia="宋体"/>
          <w:sz w:val="28"/>
          <w:szCs w:val="22"/>
        </w:rPr>
        <w:t>智慧税务的组织架构包括机构设置、税收信息化基础设施体系和税务信息化应用架构，其中基础设施为总局一级、省局一级，服务平台则由用以征收管理、行政管理、决策支持和风险管理的内部系统和外部门联网组成。</w:t>
      </w:r>
    </w:p>
    <w:p>
      <w:pPr>
        <w:ind w:firstLine="560" w:firstLineChars="200"/>
        <w:rPr>
          <w:rFonts w:eastAsia="宋体"/>
          <w:sz w:val="28"/>
          <w:szCs w:val="22"/>
        </w:rPr>
      </w:pPr>
      <w:r>
        <w:rPr>
          <w:rFonts w:hint="eastAsia" w:eastAsia="宋体"/>
          <w:sz w:val="28"/>
          <w:szCs w:val="22"/>
        </w:rPr>
        <w:t>智慧税务的建设可分为“以票控税→信息管税→以数治税”三个阶段。以票控税主要依托于金税工程一期二期，通过代码、日期等七要素，实现对增值税发票的开具、防伪认证、稽查、协查等全方位控制，信息管税则在原有加密技术上制作数字证书。发展到今天，智慧税务不仅实现了无纸化报销的革命性变化，还将为数字政府建设营造良好生态，进一步建立健全政务数据共享协调机制。</w:t>
      </w:r>
    </w:p>
    <w:p>
      <w:pPr>
        <w:ind w:firstLine="560" w:firstLineChars="200"/>
        <w:rPr>
          <w:rFonts w:eastAsia="宋体"/>
          <w:sz w:val="28"/>
          <w:szCs w:val="22"/>
        </w:rPr>
      </w:pPr>
      <w:r>
        <w:rPr>
          <w:rFonts w:hint="eastAsia" w:eastAsia="宋体"/>
          <w:sz w:val="28"/>
          <w:szCs w:val="22"/>
        </w:rPr>
        <w:t>在深化智慧税务建设的同时，数字经济也为税收治理带来了新的问题，包括纳税主体的认定、纳税对象的界定、纳税地点的确定，公平效率等税收原则也可能会受到挑战。</w:t>
      </w:r>
    </w:p>
    <w:p>
      <w:pPr>
        <w:ind w:firstLine="560" w:firstLineChars="200"/>
        <w:rPr>
          <w:rFonts w:eastAsia="宋体"/>
          <w:sz w:val="28"/>
          <w:szCs w:val="22"/>
        </w:rPr>
      </w:pPr>
    </w:p>
    <w:p>
      <w:pPr>
        <w:ind w:firstLine="562" w:firstLineChars="200"/>
        <w:jc w:val="center"/>
        <w:rPr>
          <w:rFonts w:eastAsia="宋体"/>
          <w:b/>
          <w:sz w:val="28"/>
          <w:szCs w:val="22"/>
        </w:rPr>
      </w:pPr>
      <w:r>
        <w:rPr>
          <w:rFonts w:hint="eastAsia" w:eastAsia="宋体"/>
          <w:b/>
          <w:sz w:val="28"/>
          <w:szCs w:val="22"/>
        </w:rPr>
        <w:t>第四讲 文献导读：《数字经济2</w:t>
      </w:r>
      <w:r>
        <w:rPr>
          <w:rFonts w:eastAsia="宋体"/>
          <w:b/>
          <w:sz w:val="28"/>
          <w:szCs w:val="22"/>
        </w:rPr>
        <w:t>.0</w:t>
      </w:r>
      <w:r>
        <w:rPr>
          <w:rFonts w:hint="eastAsia" w:eastAsia="宋体"/>
          <w:b/>
          <w:sz w:val="28"/>
          <w:szCs w:val="22"/>
        </w:rPr>
        <w:t>报告》（下）</w:t>
      </w:r>
    </w:p>
    <w:p>
      <w:pPr>
        <w:ind w:firstLine="562" w:firstLineChars="200"/>
        <w:jc w:val="center"/>
        <w:rPr>
          <w:rFonts w:eastAsia="宋体"/>
          <w:b/>
          <w:sz w:val="28"/>
          <w:szCs w:val="22"/>
        </w:rPr>
      </w:pPr>
      <w:r>
        <w:rPr>
          <w:rFonts w:hint="eastAsia" w:eastAsia="宋体"/>
          <w:b/>
          <w:sz w:val="28"/>
          <w:szCs w:val="22"/>
        </w:rPr>
        <w:t>主讲人：梁季</w:t>
      </w:r>
    </w:p>
    <w:p>
      <w:pPr>
        <w:ind w:firstLine="560" w:firstLineChars="200"/>
        <w:rPr>
          <w:rFonts w:eastAsia="宋体"/>
          <w:sz w:val="28"/>
          <w:szCs w:val="22"/>
        </w:rPr>
      </w:pPr>
      <w:r>
        <w:rPr>
          <w:rFonts w:hint="eastAsia" w:eastAsia="宋体"/>
          <w:sz w:val="28"/>
          <w:szCs w:val="22"/>
        </w:rPr>
        <w:t>本节主要对《数字经济2</w:t>
      </w:r>
      <w:r>
        <w:rPr>
          <w:rFonts w:eastAsia="宋体"/>
          <w:sz w:val="28"/>
          <w:szCs w:val="22"/>
        </w:rPr>
        <w:t>.0</w:t>
      </w:r>
      <w:r>
        <w:rPr>
          <w:rFonts w:hint="eastAsia" w:eastAsia="宋体"/>
          <w:sz w:val="28"/>
          <w:szCs w:val="22"/>
        </w:rPr>
        <w:t>报告——告别公司，拥抱平台》一文的后半部分进行导读：</w:t>
      </w:r>
    </w:p>
    <w:p>
      <w:pPr>
        <w:ind w:firstLine="560" w:firstLineChars="200"/>
        <w:rPr>
          <w:rFonts w:eastAsia="宋体"/>
          <w:sz w:val="28"/>
          <w:szCs w:val="22"/>
        </w:rPr>
      </w:pPr>
      <w:r>
        <w:rPr>
          <w:rFonts w:hint="eastAsia" w:eastAsia="宋体"/>
          <w:sz w:val="28"/>
          <w:szCs w:val="22"/>
        </w:rPr>
        <w:t>数字经济2.0 可以大致分为四层架构: 支撑层，包括基础设施和基础技术；数据层，是整个经济体系的数据引擎；商业层，是基于支撑层和数据层的经济活动；治理层，是整个体系的治理规则和制度安排。</w:t>
      </w:r>
    </w:p>
    <w:p>
      <w:pPr>
        <w:ind w:firstLine="560" w:firstLineChars="200"/>
        <w:rPr>
          <w:rFonts w:eastAsia="宋体"/>
          <w:sz w:val="28"/>
          <w:szCs w:val="22"/>
        </w:rPr>
      </w:pPr>
      <w:r>
        <w:rPr>
          <w:rFonts w:hint="eastAsia" w:eastAsia="宋体"/>
          <w:sz w:val="28"/>
          <w:szCs w:val="22"/>
        </w:rPr>
        <w:t>平台经济体是一种基于数字技术、由数据驱动、平台支撑、并由高度协同的经济活动单元所构成的，开放、共享、普惠的在线经济生态系统。它的出现，是当前全球商业组织演化进程中最新型、最突出的形态。平台经济体的平台、消费者、服务商共同构成了网状协作，产生有两条路径：互联网原生与跨国公司转型。</w:t>
      </w:r>
    </w:p>
    <w:p>
      <w:pPr>
        <w:ind w:firstLine="560" w:firstLineChars="200"/>
        <w:rPr>
          <w:rFonts w:eastAsia="宋体"/>
          <w:sz w:val="28"/>
          <w:szCs w:val="22"/>
        </w:rPr>
      </w:pPr>
      <w:r>
        <w:rPr>
          <w:rFonts w:hint="eastAsia" w:eastAsia="宋体"/>
          <w:sz w:val="28"/>
          <w:szCs w:val="22"/>
        </w:rPr>
        <w:t>过去20 年是移动互联网、云计算、物联网等这轮技术自身的积累与进步。而未来10 年, 这轮技术则向零售、制造、教育、医疗、文化等行业深入渗透。与此同时，各种新技术将层出不穷，量子计算、区块链与生物科技等将在未来获得突破性进展。伴随技术进步，经济组织也将进一步演化，数字经济2.0 时代的平台经济体将进入蓬勃发展的黄金阶段，成为全球经济活动的主角，彻底改变我们的工作、生活。</w:t>
      </w:r>
    </w:p>
    <w:p>
      <w:pPr>
        <w:ind w:firstLine="560" w:firstLineChars="200"/>
        <w:rPr>
          <w:rFonts w:eastAsia="宋体"/>
          <w:sz w:val="28"/>
          <w:szCs w:val="22"/>
        </w:rPr>
      </w:pPr>
    </w:p>
    <w:p>
      <w:pPr>
        <w:ind w:firstLine="562" w:firstLineChars="200"/>
        <w:jc w:val="center"/>
        <w:rPr>
          <w:rFonts w:eastAsia="宋体"/>
          <w:b/>
          <w:sz w:val="28"/>
          <w:szCs w:val="22"/>
        </w:rPr>
      </w:pPr>
      <w:r>
        <w:rPr>
          <w:rFonts w:hint="eastAsia" w:eastAsia="宋体"/>
          <w:b/>
          <w:sz w:val="28"/>
          <w:szCs w:val="22"/>
        </w:rPr>
        <w:t>第五讲 税收信息化</w:t>
      </w:r>
    </w:p>
    <w:p>
      <w:pPr>
        <w:ind w:firstLine="562" w:firstLineChars="200"/>
        <w:jc w:val="center"/>
        <w:rPr>
          <w:rFonts w:eastAsia="宋体"/>
          <w:b/>
          <w:sz w:val="28"/>
          <w:szCs w:val="22"/>
        </w:rPr>
      </w:pPr>
      <w:r>
        <w:rPr>
          <w:rFonts w:hint="eastAsia" w:eastAsia="宋体"/>
          <w:b/>
          <w:sz w:val="28"/>
          <w:szCs w:val="22"/>
        </w:rPr>
        <w:t>主讲人：王敬峰</w:t>
      </w:r>
    </w:p>
    <w:p>
      <w:pPr>
        <w:jc w:val="center"/>
        <w:rPr>
          <w:rFonts w:eastAsia="宋体"/>
          <w:b/>
          <w:sz w:val="28"/>
          <w:szCs w:val="22"/>
        </w:rPr>
      </w:pPr>
      <w:r>
        <w:rPr>
          <w:rFonts w:eastAsia="宋体"/>
          <w:b/>
          <w:sz w:val="28"/>
          <w:szCs w:val="22"/>
        </w:rPr>
        <w:drawing>
          <wp:inline distT="0" distB="0" distL="0" distR="0">
            <wp:extent cx="5261610" cy="1442085"/>
            <wp:effectExtent l="0" t="0" r="0" b="571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61610" cy="1442085"/>
                    </a:xfrm>
                    <a:prstGeom prst="rect">
                      <a:avLst/>
                    </a:prstGeom>
                    <a:noFill/>
                    <a:ln>
                      <a:noFill/>
                    </a:ln>
                  </pic:spPr>
                </pic:pic>
              </a:graphicData>
            </a:graphic>
          </wp:inline>
        </w:drawing>
      </w:r>
    </w:p>
    <w:p>
      <w:pPr>
        <w:ind w:firstLine="562"/>
        <w:jc w:val="left"/>
        <w:rPr>
          <w:rFonts w:eastAsia="宋体"/>
          <w:bCs/>
          <w:sz w:val="28"/>
          <w:szCs w:val="22"/>
        </w:rPr>
      </w:pPr>
      <w:r>
        <w:rPr>
          <w:rFonts w:hint="eastAsia" w:eastAsia="宋体"/>
          <w:bCs/>
          <w:sz w:val="28"/>
          <w:szCs w:val="22"/>
        </w:rPr>
        <w:t>本次讲座主要介绍了当前我国税收信息化的主要成果：</w:t>
      </w:r>
    </w:p>
    <w:p>
      <w:pPr>
        <w:ind w:firstLine="562"/>
        <w:jc w:val="left"/>
        <w:rPr>
          <w:rFonts w:eastAsia="宋体"/>
          <w:bCs/>
          <w:sz w:val="28"/>
          <w:szCs w:val="22"/>
        </w:rPr>
      </w:pPr>
      <w:r>
        <w:rPr>
          <w:rFonts w:hint="eastAsia" w:eastAsia="宋体"/>
          <w:bCs/>
          <w:sz w:val="28"/>
          <w:szCs w:val="22"/>
        </w:rPr>
        <w:t>一般的税收信息化指的是税收系统，涉及业务需求的提出、软件的开发设计、系统部署上线、投入和优化，主要包括三块内容：</w:t>
      </w:r>
    </w:p>
    <w:p>
      <w:pPr>
        <w:ind w:firstLine="562"/>
        <w:jc w:val="left"/>
        <w:rPr>
          <w:rFonts w:eastAsia="宋体"/>
          <w:bCs/>
          <w:sz w:val="28"/>
          <w:szCs w:val="22"/>
        </w:rPr>
      </w:pPr>
      <w:r>
        <w:rPr>
          <w:rFonts w:hint="eastAsia" w:eastAsia="宋体"/>
          <w:bCs/>
          <w:sz w:val="28"/>
          <w:szCs w:val="22"/>
        </w:rPr>
        <w:t>（1）征管：税制解决的是纳税人、征税对象等基本框架，要求是全国统一的，想解决的是统一规范带来的公平。而在规定了税制之后，征管程序、计算方式和管制手段需要和政策制度相对应</w:t>
      </w:r>
    </w:p>
    <w:p>
      <w:pPr>
        <w:ind w:firstLine="562"/>
        <w:jc w:val="left"/>
        <w:rPr>
          <w:rFonts w:eastAsia="宋体"/>
          <w:bCs/>
          <w:sz w:val="28"/>
          <w:szCs w:val="22"/>
        </w:rPr>
      </w:pPr>
      <w:r>
        <w:rPr>
          <w:rFonts w:hint="eastAsia" w:eastAsia="宋体"/>
          <w:bCs/>
          <w:sz w:val="28"/>
          <w:szCs w:val="22"/>
        </w:rPr>
        <w:t>（2）组织工作控制与管理。除了管理纳税人，税务人同时还要接受上级的管理，如何保证税务人都按照职责按照规定去展开工作，是系统控制和流程控制的重要内容。</w:t>
      </w:r>
    </w:p>
    <w:p>
      <w:pPr>
        <w:ind w:firstLine="562"/>
        <w:jc w:val="left"/>
        <w:rPr>
          <w:rFonts w:eastAsia="宋体"/>
          <w:bCs/>
          <w:sz w:val="28"/>
          <w:szCs w:val="22"/>
        </w:rPr>
      </w:pPr>
      <w:r>
        <w:rPr>
          <w:rFonts w:hint="eastAsia" w:eastAsia="宋体"/>
          <w:bCs/>
          <w:sz w:val="28"/>
          <w:szCs w:val="22"/>
        </w:rPr>
        <w:t>（3）结果的统计分析，决策支持信息。</w:t>
      </w:r>
    </w:p>
    <w:p>
      <w:pPr>
        <w:ind w:firstLine="562"/>
        <w:jc w:val="left"/>
        <w:rPr>
          <w:rFonts w:eastAsia="宋体"/>
          <w:bCs/>
          <w:sz w:val="28"/>
          <w:szCs w:val="22"/>
        </w:rPr>
      </w:pPr>
      <w:r>
        <w:rPr>
          <w:rFonts w:hint="eastAsia" w:eastAsia="宋体"/>
          <w:bCs/>
          <w:sz w:val="28"/>
          <w:szCs w:val="22"/>
        </w:rPr>
        <w:t>基于以上业务需求，现行的业务类系统主要分为三类：</w:t>
      </w:r>
    </w:p>
    <w:p>
      <w:pPr>
        <w:ind w:firstLine="562"/>
        <w:jc w:val="left"/>
        <w:rPr>
          <w:rFonts w:eastAsia="宋体"/>
          <w:bCs/>
          <w:sz w:val="28"/>
          <w:szCs w:val="22"/>
        </w:rPr>
      </w:pPr>
      <w:r>
        <w:rPr>
          <w:rFonts w:hint="eastAsia" w:eastAsia="宋体"/>
          <w:bCs/>
          <w:sz w:val="28"/>
          <w:szCs w:val="22"/>
        </w:rPr>
        <w:t>（1）生产类系统</w:t>
      </w:r>
    </w:p>
    <w:p>
      <w:pPr>
        <w:ind w:firstLine="562"/>
        <w:jc w:val="left"/>
        <w:rPr>
          <w:rFonts w:eastAsia="宋体"/>
          <w:bCs/>
          <w:sz w:val="28"/>
          <w:szCs w:val="22"/>
        </w:rPr>
      </w:pPr>
      <w:r>
        <w:rPr>
          <w:rFonts w:hint="eastAsia" w:eastAsia="宋体"/>
          <w:bCs/>
          <w:sz w:val="28"/>
          <w:szCs w:val="22"/>
        </w:rPr>
        <w:t>（2）决策分析类系统</w:t>
      </w:r>
    </w:p>
    <w:p>
      <w:pPr>
        <w:ind w:firstLine="562"/>
        <w:jc w:val="left"/>
        <w:rPr>
          <w:rFonts w:eastAsia="宋体"/>
          <w:bCs/>
          <w:sz w:val="28"/>
          <w:szCs w:val="22"/>
        </w:rPr>
      </w:pPr>
      <w:r>
        <w:rPr>
          <w:rFonts w:hint="eastAsia" w:eastAsia="宋体"/>
          <w:bCs/>
          <w:sz w:val="28"/>
          <w:szCs w:val="22"/>
        </w:rPr>
        <w:t>（3）数据交换类系统</w:t>
      </w:r>
    </w:p>
    <w:p>
      <w:pPr>
        <w:ind w:firstLine="562"/>
        <w:jc w:val="left"/>
        <w:rPr>
          <w:rFonts w:eastAsia="宋体"/>
          <w:bCs/>
          <w:sz w:val="28"/>
          <w:szCs w:val="22"/>
        </w:rPr>
      </w:pPr>
    </w:p>
    <w:p>
      <w:pPr>
        <w:jc w:val="center"/>
        <w:rPr>
          <w:rFonts w:eastAsia="宋体"/>
          <w:b/>
          <w:sz w:val="28"/>
          <w:szCs w:val="22"/>
        </w:rPr>
      </w:pPr>
      <w:r>
        <w:rPr>
          <w:rFonts w:hint="eastAsia" w:eastAsia="宋体"/>
          <w:b/>
          <w:sz w:val="28"/>
          <w:szCs w:val="22"/>
        </w:rPr>
        <w:t>第六讲  文献导读：《数字经济宏观及理论分析：新结构和新问题》</w:t>
      </w:r>
    </w:p>
    <w:p>
      <w:pPr>
        <w:jc w:val="left"/>
        <w:rPr>
          <w:rFonts w:eastAsia="宋体"/>
          <w:b/>
          <w:sz w:val="28"/>
          <w:szCs w:val="22"/>
        </w:rPr>
      </w:pPr>
      <w:r>
        <w:rPr>
          <w:rFonts w:hint="eastAsia" w:eastAsia="宋体"/>
          <w:b/>
          <w:sz w:val="28"/>
          <w:szCs w:val="22"/>
        </w:rPr>
        <w:t xml:space="preserve">                        主讲人：梁季</w:t>
      </w:r>
    </w:p>
    <w:p>
      <w:pPr>
        <w:jc w:val="center"/>
        <w:rPr>
          <w:rFonts w:eastAsia="宋体"/>
          <w:b/>
          <w:sz w:val="28"/>
          <w:szCs w:val="22"/>
        </w:rPr>
      </w:pPr>
      <w:r>
        <w:rPr>
          <w:rFonts w:hint="eastAsia" w:eastAsia="宋体"/>
          <w:b/>
          <w:sz w:val="28"/>
          <w:szCs w:val="22"/>
        </w:rPr>
        <w:drawing>
          <wp:inline distT="0" distB="0" distL="0" distR="0">
            <wp:extent cx="5274310" cy="2595245"/>
            <wp:effectExtent l="0" t="0" r="2540" b="0"/>
            <wp:docPr id="17" name="图片 1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示&#10;&#10;描述已自动生成"/>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595245"/>
                    </a:xfrm>
                    <a:prstGeom prst="rect">
                      <a:avLst/>
                    </a:prstGeom>
                  </pic:spPr>
                </pic:pic>
              </a:graphicData>
            </a:graphic>
          </wp:inline>
        </w:drawing>
      </w:r>
    </w:p>
    <w:p>
      <w:pPr>
        <w:ind w:firstLine="560" w:firstLineChars="200"/>
        <w:rPr>
          <w:rFonts w:eastAsia="宋体"/>
          <w:bCs/>
          <w:sz w:val="28"/>
          <w:szCs w:val="22"/>
        </w:rPr>
      </w:pPr>
      <w:r>
        <w:rPr>
          <w:rFonts w:hint="eastAsia" w:eastAsia="宋体"/>
          <w:bCs/>
          <w:sz w:val="28"/>
          <w:szCs w:val="22"/>
        </w:rPr>
        <w:t>本节基于数字经济演化的特征，对其宏观经济影响展开定性的讨论。</w:t>
      </w:r>
    </w:p>
    <w:p>
      <w:pPr>
        <w:ind w:firstLine="560" w:firstLineChars="200"/>
        <w:rPr>
          <w:rFonts w:eastAsia="宋体"/>
          <w:bCs/>
          <w:sz w:val="28"/>
          <w:szCs w:val="22"/>
        </w:rPr>
      </w:pPr>
      <w:r>
        <w:rPr>
          <w:rFonts w:hint="eastAsia" w:eastAsia="宋体"/>
          <w:bCs/>
          <w:sz w:val="28"/>
          <w:szCs w:val="22"/>
        </w:rPr>
        <w:t>（1）对冲老龄化不会一蹴而就：自动化和人工智能发展提升生产效率，可以在一定程度上抵消劳动人口下降对供给的冲击。但机器不是人，不产生最终的消费需求，如果效率提升不是通过机器赋能人而是替代人来实现，更会加大收入分配差距，抑制消费需求。生产效率提升还会降低家庭生育偏好，如果缺少干预，可能加剧人口学意义上的老龄化问题。</w:t>
      </w:r>
    </w:p>
    <w:p>
      <w:pPr>
        <w:ind w:firstLine="560" w:firstLineChars="200"/>
        <w:rPr>
          <w:rFonts w:eastAsia="宋体"/>
          <w:bCs/>
          <w:sz w:val="28"/>
          <w:szCs w:val="22"/>
        </w:rPr>
      </w:pPr>
      <w:r>
        <w:rPr>
          <w:rFonts w:hint="eastAsia" w:eastAsia="宋体"/>
          <w:bCs/>
          <w:sz w:val="28"/>
          <w:szCs w:val="22"/>
        </w:rPr>
        <w:t>（2）服务可贸易或改变发展模式：随着远程沟通成本下降，部分服务无需当面接触也能实现，这将促进服务跨区或跨境贸易的发展。竞争还会提升服务部门生产率，我们认为服贸有望成为新的经济增长点，同时数字经济发展降低制造业贸易必要性，或引发新兴市场经济增长方式的变革。</w:t>
      </w:r>
    </w:p>
    <w:p>
      <w:pPr>
        <w:ind w:firstLine="560" w:firstLineChars="200"/>
        <w:rPr>
          <w:rFonts w:eastAsia="宋体"/>
          <w:bCs/>
          <w:sz w:val="28"/>
          <w:szCs w:val="22"/>
        </w:rPr>
      </w:pPr>
      <w:r>
        <w:rPr>
          <w:rFonts w:hint="eastAsia" w:eastAsia="宋体"/>
          <w:bCs/>
          <w:sz w:val="28"/>
          <w:szCs w:val="22"/>
        </w:rPr>
        <w:t>（3）收入分配“物以稀为贵”：数字技术进步推动劳动生产效率提升，但在鲍莫尔病效应下，低效率部门重要性却会上升。一些因效率低而产出有限但需求较大的行业和个体，更容易在数字经济发展中获益。不过在机器替代人的行业，劳动报酬占比会下降。公共政策需要更加关注数字鸿沟和贫富分化加大的问题。</w:t>
      </w:r>
    </w:p>
    <w:p>
      <w:pPr>
        <w:ind w:firstLine="560" w:firstLineChars="200"/>
        <w:rPr>
          <w:rFonts w:eastAsia="宋体"/>
          <w:bCs/>
          <w:sz w:val="28"/>
          <w:szCs w:val="22"/>
        </w:rPr>
      </w:pPr>
      <w:r>
        <w:rPr>
          <w:rFonts w:hint="eastAsia" w:eastAsia="宋体"/>
          <w:bCs/>
          <w:sz w:val="28"/>
          <w:szCs w:val="22"/>
        </w:rPr>
        <w:t>（4）垄断也要区分“好”与“坏”：数字经济中的规模经济和网络效应，往往会造成赢者通吃的“垄断”现象。但我们需要区分“好垄断”和“坏垄断”，一方面要鼓励竞争、防止恶意垄断，另一方面也要用动态的眼光去看待数字创新中的回报问题，不能为了反垄断而误伤创新。</w:t>
      </w:r>
    </w:p>
    <w:p>
      <w:pPr>
        <w:ind w:firstLine="560" w:firstLineChars="200"/>
        <w:rPr>
          <w:rFonts w:eastAsia="宋体"/>
          <w:bCs/>
          <w:sz w:val="28"/>
          <w:szCs w:val="22"/>
        </w:rPr>
      </w:pPr>
      <w:r>
        <w:rPr>
          <w:rFonts w:hint="eastAsia" w:eastAsia="宋体"/>
          <w:bCs/>
          <w:sz w:val="28"/>
          <w:szCs w:val="22"/>
        </w:rPr>
        <w:t>（5）隐私保护已是大势所趋：个人行为正越来越全面地被以数据形式记录。由于数据的非竞争性甚至非排他性特征，隐私数据泄露的影响越来越大。然而数据采集和使用的“黑箱”让民众在防范隐私泄露方面极为被动，隐私保护需要公权力介入，同时如何防止公权力本身成为隐私保护的障碍也是数据监管面临的挑战。</w:t>
      </w:r>
    </w:p>
    <w:p>
      <w:pPr>
        <w:ind w:firstLine="562" w:firstLineChars="200"/>
        <w:jc w:val="center"/>
        <w:rPr>
          <w:rFonts w:eastAsia="宋体"/>
          <w:b/>
          <w:sz w:val="28"/>
          <w:szCs w:val="22"/>
        </w:rPr>
      </w:pPr>
    </w:p>
    <w:p>
      <w:pPr>
        <w:ind w:firstLine="562" w:firstLineChars="200"/>
        <w:jc w:val="center"/>
        <w:rPr>
          <w:rFonts w:eastAsia="宋体"/>
          <w:b/>
          <w:sz w:val="28"/>
          <w:szCs w:val="22"/>
        </w:rPr>
      </w:pPr>
    </w:p>
    <w:p>
      <w:pPr>
        <w:ind w:firstLine="562" w:firstLineChars="200"/>
        <w:jc w:val="center"/>
        <w:rPr>
          <w:rFonts w:eastAsia="宋体"/>
          <w:b/>
          <w:sz w:val="28"/>
          <w:szCs w:val="22"/>
        </w:rPr>
      </w:pPr>
      <w:r>
        <w:rPr>
          <w:rFonts w:hint="eastAsia" w:eastAsia="宋体"/>
          <w:b/>
          <w:sz w:val="28"/>
          <w:szCs w:val="22"/>
        </w:rPr>
        <w:t>第七讲 财税数据全生命周期管理：理论与实践</w:t>
      </w:r>
    </w:p>
    <w:p>
      <w:pPr>
        <w:rPr>
          <w:rFonts w:eastAsia="宋体"/>
          <w:b/>
          <w:sz w:val="28"/>
          <w:szCs w:val="22"/>
        </w:rPr>
      </w:pPr>
      <w:r>
        <w:rPr>
          <w:rFonts w:eastAsia="宋体"/>
          <w:b/>
          <w:sz w:val="28"/>
          <w:szCs w:val="22"/>
        </w:rPr>
        <w:drawing>
          <wp:inline distT="0" distB="0" distL="0" distR="0">
            <wp:extent cx="5270500" cy="22225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270500" cy="2222500"/>
                    </a:xfrm>
                    <a:prstGeom prst="rect">
                      <a:avLst/>
                    </a:prstGeom>
                    <a:noFill/>
                    <a:ln>
                      <a:noFill/>
                    </a:ln>
                  </pic:spPr>
                </pic:pic>
              </a:graphicData>
            </a:graphic>
          </wp:inline>
        </w:drawing>
      </w:r>
    </w:p>
    <w:p>
      <w:pPr>
        <w:ind w:firstLine="560" w:firstLineChars="200"/>
        <w:rPr>
          <w:rFonts w:eastAsia="宋体"/>
          <w:sz w:val="28"/>
          <w:szCs w:val="22"/>
        </w:rPr>
      </w:pPr>
      <w:r>
        <w:rPr>
          <w:rFonts w:hint="eastAsia" w:eastAsia="宋体"/>
          <w:sz w:val="28"/>
          <w:szCs w:val="22"/>
        </w:rPr>
        <w:t>本节主要从理论角度对财税数据的全生命周期管理进行了概述，并以政府收入数据为例对财税数据的应用场景与实践进行分析：</w:t>
      </w:r>
    </w:p>
    <w:p>
      <w:pPr>
        <w:ind w:firstLine="560" w:firstLineChars="200"/>
        <w:rPr>
          <w:rFonts w:eastAsia="宋体"/>
          <w:sz w:val="28"/>
          <w:szCs w:val="22"/>
        </w:rPr>
      </w:pPr>
      <w:r>
        <w:rPr>
          <w:rFonts w:hint="eastAsia" w:eastAsia="宋体"/>
          <w:sz w:val="28"/>
          <w:szCs w:val="22"/>
        </w:rPr>
        <w:t>数据生产力是数字经济时代的标志，随着数据成为数字经济时代的新生产要素，数据全生命周期管理愈发重要。</w:t>
      </w:r>
    </w:p>
    <w:p>
      <w:pPr>
        <w:ind w:firstLine="560" w:firstLineChars="200"/>
        <w:rPr>
          <w:rFonts w:eastAsia="宋体"/>
          <w:sz w:val="28"/>
          <w:szCs w:val="22"/>
        </w:rPr>
      </w:pPr>
      <w:r>
        <w:rPr>
          <w:rFonts w:hint="eastAsia" w:eastAsia="宋体"/>
          <w:sz w:val="28"/>
          <w:szCs w:val="22"/>
        </w:rPr>
        <w:t>在过去，数据全生命周期通常是指某个集合的数据从产生或获取到销毁的过程。数据全生命周期分为：采集、存储、整合、呈现与使用、分析与应用、归档和销毁几个阶段。进入数据智能时代，我们再不能把眼光只局限在存储这个环节上，而应从数据产生的源头开始，遍历数据从产生到销毁的全过程，并结合具体的业务场景，深入分析并挖掘数据背后隐藏的价值。其中，数据价值最大化的前提是挖掘数据背后隐藏的价值，面临着接入难、使用难、消费难三大问题。</w:t>
      </w:r>
    </w:p>
    <w:p>
      <w:pPr>
        <w:ind w:firstLine="560" w:firstLineChars="200"/>
        <w:rPr>
          <w:rFonts w:eastAsia="宋体"/>
          <w:sz w:val="28"/>
          <w:szCs w:val="22"/>
        </w:rPr>
      </w:pPr>
      <w:r>
        <w:rPr>
          <w:rFonts w:hint="eastAsia" w:eastAsia="宋体"/>
          <w:sz w:val="28"/>
          <w:szCs w:val="22"/>
        </w:rPr>
        <w:t>以政府收入数据为例，目前地方财政数据散落于各级政府财政网站，尚未有反映全国、中央、省、市、区县政府收入全貌的数据统计资料，目前仅有1本全国财政年鉴、5本地方省级财政年鉴，且数据公布格式也不统一。省以下地区间政府收入横向比较分析成果更是匮乏。截至目前，《中国政府收入全景图解》对政府收入数据的管理包括以下几个步骤：</w:t>
      </w:r>
    </w:p>
    <w:p>
      <w:pPr>
        <w:pStyle w:val="12"/>
        <w:numPr>
          <w:ilvl w:val="0"/>
          <w:numId w:val="1"/>
        </w:numPr>
        <w:ind w:firstLineChars="0"/>
        <w:rPr>
          <w:rFonts w:eastAsia="宋体"/>
          <w:sz w:val="28"/>
          <w:szCs w:val="22"/>
        </w:rPr>
      </w:pPr>
      <w:r>
        <w:rPr>
          <w:rFonts w:hint="eastAsia" w:eastAsia="宋体"/>
          <w:sz w:val="28"/>
          <w:szCs w:val="22"/>
        </w:rPr>
        <w:t>数据采集：制作数据采集表、全网“地毯式”数据。</w:t>
      </w:r>
    </w:p>
    <w:p>
      <w:pPr>
        <w:pStyle w:val="12"/>
        <w:numPr>
          <w:ilvl w:val="0"/>
          <w:numId w:val="1"/>
        </w:numPr>
        <w:ind w:firstLineChars="0"/>
        <w:rPr>
          <w:rFonts w:eastAsia="宋体"/>
          <w:sz w:val="28"/>
          <w:szCs w:val="22"/>
        </w:rPr>
      </w:pPr>
      <w:r>
        <w:rPr>
          <w:rFonts w:hint="eastAsia" w:eastAsia="宋体"/>
          <w:sz w:val="28"/>
          <w:szCs w:val="22"/>
        </w:rPr>
        <w:t>数据存储和整合：数据自动汇总子表、数据汇集表、逐级分库汇总</w:t>
      </w:r>
    </w:p>
    <w:p>
      <w:pPr>
        <w:pStyle w:val="12"/>
        <w:numPr>
          <w:ilvl w:val="0"/>
          <w:numId w:val="1"/>
        </w:numPr>
        <w:ind w:firstLineChars="0"/>
        <w:rPr>
          <w:rFonts w:eastAsia="宋体"/>
          <w:sz w:val="28"/>
          <w:szCs w:val="22"/>
        </w:rPr>
      </w:pPr>
      <w:r>
        <w:rPr>
          <w:rFonts w:hint="eastAsia" w:eastAsia="宋体"/>
          <w:sz w:val="28"/>
          <w:szCs w:val="22"/>
        </w:rPr>
        <w:t>数据呈现和使用：构建3</w:t>
      </w:r>
      <w:r>
        <w:rPr>
          <w:rFonts w:eastAsia="宋体"/>
          <w:sz w:val="28"/>
          <w:szCs w:val="22"/>
        </w:rPr>
        <w:t>00</w:t>
      </w:r>
      <w:r>
        <w:rPr>
          <w:rFonts w:hint="eastAsia" w:eastAsia="宋体"/>
          <w:sz w:val="28"/>
          <w:szCs w:val="22"/>
        </w:rPr>
        <w:t>多个分析指标，并多元展现</w:t>
      </w:r>
    </w:p>
    <w:p>
      <w:pPr>
        <w:ind w:firstLine="560" w:firstLineChars="200"/>
        <w:rPr>
          <w:rFonts w:eastAsia="宋体"/>
          <w:sz w:val="28"/>
          <w:szCs w:val="22"/>
        </w:rPr>
      </w:pPr>
      <w:r>
        <w:rPr>
          <w:rFonts w:hint="eastAsia" w:eastAsia="宋体"/>
          <w:sz w:val="28"/>
          <w:szCs w:val="22"/>
        </w:rPr>
        <w:t>通过对政府收入数据的分析，对全国层面、省级层面、省以下政府政府收入情况及变化趋势能够形成一个较为清晰的认识，得以进一步透视财政经济运行。</w:t>
      </w:r>
    </w:p>
    <w:p>
      <w:pPr>
        <w:ind w:firstLine="560" w:firstLineChars="200"/>
        <w:rPr>
          <w:rFonts w:eastAsia="宋体"/>
          <w:sz w:val="28"/>
          <w:szCs w:val="22"/>
        </w:rPr>
      </w:pPr>
    </w:p>
    <w:p>
      <w:pPr>
        <w:ind w:firstLine="562" w:firstLineChars="200"/>
        <w:jc w:val="center"/>
        <w:rPr>
          <w:rFonts w:eastAsia="宋体"/>
          <w:b/>
          <w:sz w:val="28"/>
          <w:szCs w:val="22"/>
        </w:rPr>
      </w:pPr>
      <w:r>
        <w:rPr>
          <w:rFonts w:hint="eastAsia" w:eastAsia="宋体"/>
          <w:b/>
          <w:sz w:val="28"/>
          <w:szCs w:val="22"/>
        </w:rPr>
        <w:t>第八讲 数字财政与国库现金管理</w:t>
      </w:r>
    </w:p>
    <w:p>
      <w:pPr>
        <w:ind w:firstLine="560" w:firstLineChars="200"/>
        <w:rPr>
          <w:rFonts w:eastAsia="宋体"/>
          <w:sz w:val="28"/>
          <w:szCs w:val="22"/>
        </w:rPr>
      </w:pPr>
      <w:r>
        <w:rPr>
          <w:rFonts w:hint="eastAsia" w:eastAsia="宋体"/>
          <w:sz w:val="28"/>
          <w:szCs w:val="22"/>
        </w:rPr>
        <w:t>本节由中国财政科学研究院金融研究中心助理研究员陈旭主讲，主要从国库现金管理的角度来探讨财税大数据的应用，介绍了国库资金管理</w:t>
      </w:r>
      <w:r>
        <w:rPr>
          <w:rFonts w:eastAsia="宋体"/>
          <w:b/>
          <w:sz w:val="28"/>
          <w:szCs w:val="22"/>
        </w:rPr>
        <w:drawing>
          <wp:inline distT="0" distB="0" distL="0" distR="0">
            <wp:extent cx="5264150" cy="52578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5264150" cy="5257800"/>
                    </a:xfrm>
                    <a:prstGeom prst="rect">
                      <a:avLst/>
                    </a:prstGeom>
                    <a:noFill/>
                    <a:ln>
                      <a:noFill/>
                    </a:ln>
                  </pic:spPr>
                </pic:pic>
              </a:graphicData>
            </a:graphic>
          </wp:inline>
        </w:drawing>
      </w:r>
      <w:r>
        <w:rPr>
          <w:rFonts w:hint="eastAsia" w:eastAsia="宋体"/>
          <w:sz w:val="28"/>
          <w:szCs w:val="22"/>
        </w:rPr>
        <w:t>的政策约束和地方财政库底现金的决定因素，基于此对常用国库现金管理预测模型进行分析探讨，并以某省财政厅国库集中支付系统为例分析大数据在国库现金管理中的应用：</w:t>
      </w:r>
    </w:p>
    <w:p>
      <w:pPr>
        <w:ind w:firstLine="560" w:firstLineChars="200"/>
        <w:rPr>
          <w:rFonts w:eastAsia="宋体"/>
          <w:sz w:val="28"/>
          <w:szCs w:val="22"/>
        </w:rPr>
      </w:pPr>
      <w:r>
        <w:rPr>
          <w:rFonts w:hint="eastAsia" w:eastAsia="宋体"/>
          <w:sz w:val="28"/>
          <w:szCs w:val="22"/>
        </w:rPr>
        <w:t>国库管理是国家财政运行的重中之重，是现代财政制度的重要内容。国库库底资金预测和国库现金管理是提高国库资金使用效率的重要着力点，而这也是财政大数据工具适合的主要应用场景之一。国库管理涉及各项财政收入和财政支出数据，各级财政部门积累大量的数据，能够为大数据工具运用提供支撑。</w:t>
      </w:r>
    </w:p>
    <w:p>
      <w:pPr>
        <w:ind w:firstLine="560" w:firstLineChars="200"/>
        <w:rPr>
          <w:rFonts w:eastAsia="宋体"/>
          <w:sz w:val="28"/>
          <w:szCs w:val="22"/>
        </w:rPr>
      </w:pPr>
      <w:r>
        <w:rPr>
          <w:rFonts w:hint="eastAsia" w:eastAsia="宋体"/>
          <w:sz w:val="28"/>
          <w:szCs w:val="22"/>
        </w:rPr>
        <w:t>地方财政库底资金管理和预测是加强资金调度与国库现金管理的重要内容，《预算法》和国务院、财政部行政法规都对国库管理做了明确约束，各级政府应当加强对本级国库的管理和监督，按照国务院的规定完善国库现金管理，合理调节国库资金余额”，同时财政部对地方政府国库库款资金管理的考核和激励也有明确的规定。</w:t>
      </w:r>
    </w:p>
    <w:p>
      <w:pPr>
        <w:ind w:firstLine="560" w:firstLineChars="200"/>
        <w:rPr>
          <w:rFonts w:eastAsia="宋体"/>
          <w:sz w:val="28"/>
          <w:szCs w:val="22"/>
        </w:rPr>
      </w:pPr>
      <w:r>
        <w:rPr>
          <w:rFonts w:hint="eastAsia" w:eastAsia="宋体"/>
          <w:sz w:val="28"/>
          <w:szCs w:val="22"/>
        </w:rPr>
        <w:t>地方财政库款资金余额由当期财政收入和财政支出的差额决定，财政收入包括一般公共预算收入、政府性基金收入、国有资本经营预算收入、转移性收入、地方政府债券收入、国库现金管理到期收入、商业银行其他存款到期收入、暂付款项收回、暂存款项等；财政支出包括一般公共预算支出、政府性基金支出、国有资本经营预算支出、转移性支出、地方政府债券还本和转贷支出、国库现金管理、商业银行其他存款操作、暂付款项和拨款项等。</w:t>
      </w:r>
    </w:p>
    <w:p>
      <w:pPr>
        <w:ind w:firstLine="560" w:firstLineChars="200"/>
        <w:rPr>
          <w:rFonts w:eastAsia="宋体"/>
          <w:sz w:val="28"/>
          <w:szCs w:val="22"/>
        </w:rPr>
      </w:pPr>
      <w:r>
        <w:rPr>
          <w:rFonts w:hint="eastAsia" w:eastAsia="宋体"/>
          <w:sz w:val="28"/>
          <w:szCs w:val="22"/>
        </w:rPr>
        <w:t>国库现金管理目前比较流行的有经验分析预测法、Baumol模型、Miller-Orr模型和VaR模型等方法。随着经济的快速发展，国库现金收支变得更加复杂，仅凭经验来进行分析预测变得不再可靠，而与此同时国库大数据不断积累，分析技术不断进步，越来越多地方政府国库部门希望大数据分析模型来预测国库库底余额，优化国库现金管理，提高库底资金使用效益。</w:t>
      </w:r>
    </w:p>
    <w:p>
      <w:pPr>
        <w:ind w:firstLine="560" w:firstLineChars="200"/>
        <w:rPr>
          <w:rFonts w:eastAsia="宋体"/>
          <w:sz w:val="28"/>
          <w:szCs w:val="22"/>
        </w:rPr>
      </w:pPr>
    </w:p>
    <w:p>
      <w:pPr>
        <w:ind w:firstLine="562" w:firstLineChars="200"/>
        <w:jc w:val="center"/>
        <w:rPr>
          <w:rFonts w:eastAsia="宋体"/>
          <w:b/>
          <w:sz w:val="28"/>
          <w:szCs w:val="22"/>
        </w:rPr>
      </w:pPr>
      <w:r>
        <w:rPr>
          <w:rFonts w:hint="eastAsia" w:eastAsia="宋体"/>
          <w:b/>
          <w:sz w:val="28"/>
          <w:szCs w:val="22"/>
        </w:rPr>
        <w:t>第九讲  大数据助力政府数智化转型</w:t>
      </w:r>
    </w:p>
    <w:p>
      <w:pPr>
        <w:ind w:firstLine="560" w:firstLineChars="200"/>
        <w:rPr>
          <w:rFonts w:eastAsia="宋体"/>
          <w:sz w:val="28"/>
          <w:szCs w:val="22"/>
        </w:rPr>
      </w:pPr>
      <w:r>
        <w:rPr>
          <w:rFonts w:hint="eastAsia" w:eastAsia="宋体"/>
          <w:sz w:val="28"/>
          <w:szCs w:val="22"/>
        </w:rPr>
        <w:t>本次讲座由用友政务大数据产品部吴娜总经理主讲，主要探讨了数字化时代下政府数据应用的需求与场景，并从业务层面和技术层面对当下的政府大数据平台进行介绍：</w:t>
      </w:r>
    </w:p>
    <w:p>
      <w:pPr>
        <w:rPr>
          <w:rFonts w:eastAsia="宋体"/>
          <w:sz w:val="28"/>
          <w:szCs w:val="22"/>
        </w:rPr>
      </w:pPr>
      <w:r>
        <w:rPr>
          <w:rFonts w:eastAsia="宋体"/>
          <w:b/>
          <w:sz w:val="28"/>
          <w:szCs w:val="22"/>
        </w:rPr>
        <w:drawing>
          <wp:inline distT="0" distB="0" distL="0" distR="0">
            <wp:extent cx="5264150" cy="44831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5264150" cy="4483100"/>
                    </a:xfrm>
                    <a:prstGeom prst="rect">
                      <a:avLst/>
                    </a:prstGeom>
                    <a:noFill/>
                    <a:ln>
                      <a:noFill/>
                    </a:ln>
                  </pic:spPr>
                </pic:pic>
              </a:graphicData>
            </a:graphic>
          </wp:inline>
        </w:drawing>
      </w:r>
    </w:p>
    <w:p>
      <w:pPr>
        <w:ind w:firstLine="560" w:firstLineChars="200"/>
        <w:rPr>
          <w:rFonts w:eastAsia="宋体"/>
          <w:sz w:val="28"/>
          <w:szCs w:val="22"/>
        </w:rPr>
      </w:pPr>
      <w:r>
        <w:rPr>
          <w:rFonts w:hint="eastAsia" w:eastAsia="宋体"/>
          <w:sz w:val="28"/>
          <w:szCs w:val="22"/>
        </w:rPr>
        <w:t>大数据在财政领域的应用刚刚开始，目前已经经历了两个应用阶段：（1）各自为政：各个司局牵头进行各自板块的开发并推广；此时软件并没有整合和打通，缺乏整体设计；（2）开始打通：通过平台规范技术建设，应用平台首先是技术平台，使用者按照规范去存入数据。后者实际上对平台建设提出很高要求，既在技术上要求整体适配，又要求对财政业务规则较为了解。</w:t>
      </w:r>
    </w:p>
    <w:p>
      <w:pPr>
        <w:ind w:firstLine="560" w:firstLineChars="200"/>
        <w:rPr>
          <w:rFonts w:eastAsia="宋体"/>
          <w:sz w:val="28"/>
          <w:szCs w:val="22"/>
        </w:rPr>
      </w:pPr>
      <w:r>
        <w:rPr>
          <w:rFonts w:hint="eastAsia" w:eastAsia="宋体"/>
          <w:sz w:val="28"/>
          <w:szCs w:val="22"/>
        </w:rPr>
        <w:t>数字信息化下，政府面临着信息孤岛、面向管理、数据利用、部门协调、业务重塑等新挑战，相应地，政府数据应用也提出了新的业务诉求，包括共享数据交换、业务可视化分析、智能化决策支持、业务趋势预测、监督管控预警、业务风险控制、大数据处理和数据安全。</w:t>
      </w:r>
    </w:p>
    <w:p>
      <w:pPr>
        <w:rPr>
          <w:rFonts w:eastAsia="宋体"/>
          <w:sz w:val="28"/>
          <w:szCs w:val="22"/>
        </w:rPr>
      </w:pPr>
    </w:p>
    <w:p>
      <w:pPr>
        <w:jc w:val="center"/>
        <w:rPr>
          <w:rFonts w:eastAsia="宋体"/>
          <w:b/>
          <w:sz w:val="28"/>
          <w:szCs w:val="22"/>
        </w:rPr>
      </w:pPr>
      <w:r>
        <w:rPr>
          <w:rFonts w:hint="eastAsia" w:eastAsia="宋体"/>
          <w:b/>
          <w:sz w:val="28"/>
          <w:szCs w:val="22"/>
        </w:rPr>
        <w:t>第十讲</w:t>
      </w:r>
      <w:r>
        <w:rPr>
          <w:rFonts w:hint="eastAsia" w:eastAsia="宋体"/>
          <w:b/>
          <w:sz w:val="28"/>
          <w:szCs w:val="22"/>
          <w:lang w:val="en-US" w:eastAsia="zh-CN"/>
        </w:rPr>
        <w:t xml:space="preserve">  </w:t>
      </w:r>
      <w:bookmarkStart w:id="0" w:name="_GoBack"/>
      <w:bookmarkEnd w:id="0"/>
      <w:r>
        <w:rPr>
          <w:rFonts w:hint="eastAsia" w:eastAsia="宋体"/>
          <w:b/>
          <w:sz w:val="28"/>
          <w:szCs w:val="22"/>
        </w:rPr>
        <w:t>当前财政经济形势和财政政策</w:t>
      </w:r>
    </w:p>
    <w:p>
      <w:pPr>
        <w:rPr>
          <w:rFonts w:eastAsia="宋体"/>
          <w:b/>
          <w:sz w:val="28"/>
          <w:szCs w:val="22"/>
        </w:rPr>
      </w:pPr>
      <w:r>
        <w:rPr>
          <w:rFonts w:eastAsia="宋体"/>
          <w:b/>
          <w:sz w:val="28"/>
          <w:szCs w:val="22"/>
        </w:rPr>
        <w:drawing>
          <wp:inline distT="0" distB="0" distL="0" distR="0">
            <wp:extent cx="5274310" cy="219392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5274310" cy="2193925"/>
                    </a:xfrm>
                    <a:prstGeom prst="rect">
                      <a:avLst/>
                    </a:prstGeom>
                    <a:noFill/>
                    <a:ln>
                      <a:noFill/>
                    </a:ln>
                  </pic:spPr>
                </pic:pic>
              </a:graphicData>
            </a:graphic>
          </wp:inline>
        </w:drawing>
      </w:r>
    </w:p>
    <w:p>
      <w:pPr>
        <w:ind w:firstLine="560" w:firstLineChars="200"/>
        <w:rPr>
          <w:rFonts w:eastAsia="宋体"/>
          <w:sz w:val="28"/>
          <w:szCs w:val="22"/>
        </w:rPr>
      </w:pPr>
      <w:r>
        <w:rPr>
          <w:rFonts w:hint="eastAsia" w:eastAsia="宋体"/>
          <w:sz w:val="28"/>
          <w:szCs w:val="22"/>
        </w:rPr>
        <w:t>本次讲座由财政部综合司预测处周伟副处长主讲，主要探讨了当前我国宏观经济形势，介绍了十四五时期我国发展的目标、任务和规划主线，当前的财政经济形势及财政政策：</w:t>
      </w:r>
    </w:p>
    <w:p>
      <w:pPr>
        <w:ind w:firstLine="560" w:firstLineChars="200"/>
        <w:jc w:val="left"/>
        <w:rPr>
          <w:rFonts w:eastAsia="宋体"/>
          <w:sz w:val="28"/>
          <w:szCs w:val="22"/>
        </w:rPr>
      </w:pPr>
      <w:r>
        <w:rPr>
          <w:rFonts w:hint="eastAsia" w:eastAsia="宋体"/>
          <w:sz w:val="28"/>
          <w:szCs w:val="22"/>
        </w:rPr>
        <w:t>1</w:t>
      </w:r>
      <w:r>
        <w:rPr>
          <w:rFonts w:eastAsia="宋体"/>
          <w:sz w:val="28"/>
          <w:szCs w:val="22"/>
        </w:rPr>
        <w:t xml:space="preserve">. </w:t>
      </w:r>
      <w:r>
        <w:rPr>
          <w:rFonts w:hint="eastAsia" w:eastAsia="宋体"/>
          <w:sz w:val="28"/>
          <w:szCs w:val="22"/>
        </w:rPr>
        <w:t>改革开放特别是十八大以来的经济快速发展为我国未来的发展奠定了坚实基础，我国经济运行质量不断提高，经济结构不断优化，经济发展的韧性不断增强。然而，从外部环境来看，我国面临着国家力量对比、科技产业变革、国际治理体系等多方面百年未有之大变局的考验与挑战；从国内经济发展来看，我国经济增长动能有所放缓，发展不平衡不充分问题仍然突出。因此，“十四五”时期，我国应充分利用制度优势和治理效能凸显、产业体系完善、市场潜力较大、宏观调控稳定有利等发展优势条件。</w:t>
      </w:r>
    </w:p>
    <w:p>
      <w:pPr>
        <w:ind w:firstLine="560" w:firstLineChars="200"/>
        <w:jc w:val="left"/>
        <w:rPr>
          <w:rFonts w:eastAsia="宋体"/>
          <w:sz w:val="28"/>
          <w:szCs w:val="22"/>
        </w:rPr>
      </w:pPr>
      <w:r>
        <w:rPr>
          <w:rFonts w:hint="eastAsia" w:eastAsia="宋体"/>
          <w:sz w:val="28"/>
          <w:szCs w:val="22"/>
        </w:rPr>
        <w:t>2</w:t>
      </w:r>
      <w:r>
        <w:rPr>
          <w:rFonts w:eastAsia="宋体"/>
          <w:sz w:val="28"/>
          <w:szCs w:val="22"/>
        </w:rPr>
        <w:t xml:space="preserve">. </w:t>
      </w:r>
      <w:r>
        <w:rPr>
          <w:rFonts w:hint="eastAsia" w:eastAsia="宋体"/>
          <w:sz w:val="28"/>
          <w:szCs w:val="22"/>
        </w:rPr>
        <w:t>“十四五”规划《纲要》的主要目标具有鲜明特征，包括五年规划目标与远景规划目标相衔接、定性目标和定量目标相结合等，整体规划有以下几条主线：</w:t>
      </w:r>
    </w:p>
    <w:p>
      <w:pPr>
        <w:pStyle w:val="12"/>
        <w:numPr>
          <w:ilvl w:val="0"/>
          <w:numId w:val="2"/>
        </w:numPr>
        <w:ind w:firstLineChars="0"/>
        <w:jc w:val="left"/>
        <w:rPr>
          <w:rFonts w:eastAsia="宋体"/>
          <w:sz w:val="28"/>
          <w:szCs w:val="22"/>
        </w:rPr>
      </w:pPr>
      <w:r>
        <w:rPr>
          <w:rFonts w:hint="eastAsia" w:eastAsia="宋体"/>
          <w:sz w:val="28"/>
          <w:szCs w:val="22"/>
        </w:rPr>
        <w:t>将高质量发展放在更重要的地位</w:t>
      </w:r>
    </w:p>
    <w:p>
      <w:pPr>
        <w:pStyle w:val="12"/>
        <w:numPr>
          <w:ilvl w:val="0"/>
          <w:numId w:val="2"/>
        </w:numPr>
        <w:ind w:firstLineChars="0"/>
        <w:jc w:val="left"/>
        <w:rPr>
          <w:rFonts w:eastAsia="宋体"/>
          <w:sz w:val="28"/>
          <w:szCs w:val="22"/>
        </w:rPr>
      </w:pPr>
      <w:r>
        <w:rPr>
          <w:rFonts w:hint="eastAsia" w:eastAsia="宋体"/>
          <w:sz w:val="28"/>
          <w:szCs w:val="22"/>
        </w:rPr>
        <w:t>首次提出了共同富裕</w:t>
      </w:r>
    </w:p>
    <w:p>
      <w:pPr>
        <w:pStyle w:val="12"/>
        <w:numPr>
          <w:ilvl w:val="0"/>
          <w:numId w:val="2"/>
        </w:numPr>
        <w:ind w:firstLineChars="0"/>
        <w:jc w:val="left"/>
        <w:rPr>
          <w:rFonts w:eastAsia="宋体"/>
          <w:sz w:val="28"/>
          <w:szCs w:val="22"/>
        </w:rPr>
      </w:pPr>
      <w:r>
        <w:rPr>
          <w:rFonts w:hint="eastAsia" w:eastAsia="宋体"/>
          <w:sz w:val="28"/>
          <w:szCs w:val="22"/>
        </w:rPr>
        <w:t>更加强调统筹发展和安全</w:t>
      </w:r>
    </w:p>
    <w:p>
      <w:pPr>
        <w:ind w:firstLine="420"/>
        <w:jc w:val="left"/>
        <w:rPr>
          <w:rFonts w:eastAsia="宋体"/>
          <w:sz w:val="28"/>
          <w:szCs w:val="22"/>
        </w:rPr>
      </w:pPr>
      <w:r>
        <w:rPr>
          <w:rFonts w:hint="eastAsia" w:eastAsia="宋体"/>
          <w:sz w:val="28"/>
          <w:szCs w:val="22"/>
        </w:rPr>
        <w:t>3</w:t>
      </w:r>
      <w:r>
        <w:rPr>
          <w:rFonts w:eastAsia="宋体"/>
          <w:sz w:val="28"/>
          <w:szCs w:val="22"/>
        </w:rPr>
        <w:t xml:space="preserve">. </w:t>
      </w:r>
      <w:r>
        <w:rPr>
          <w:rFonts w:hint="eastAsia" w:eastAsia="宋体"/>
          <w:sz w:val="28"/>
          <w:szCs w:val="22"/>
        </w:rPr>
        <w:t>从当前经济运行看，我国经济延续了恢复性增长态势，一季度主要指标都保持较高增速，但需要客观冷静的分析，并密切关注风险挑战。在这一背景下，今年财政形势预计也将“数字好看、日子难过”，收支平衡压力较大。为此，今年的积极财政政策要提质增效、更可持续。</w:t>
      </w:r>
    </w:p>
    <w:p>
      <w:pPr>
        <w:ind w:firstLine="420"/>
        <w:jc w:val="left"/>
        <w:rPr>
          <w:rFonts w:eastAsia="宋体"/>
          <w:sz w:val="28"/>
          <w:szCs w:val="22"/>
        </w:rPr>
      </w:pPr>
    </w:p>
    <w:p>
      <w:pPr>
        <w:jc w:val="center"/>
        <w:rPr>
          <w:rFonts w:eastAsia="宋体"/>
          <w:b/>
          <w:sz w:val="28"/>
          <w:szCs w:val="22"/>
        </w:rPr>
      </w:pPr>
      <w:r>
        <w:rPr>
          <w:rFonts w:hint="eastAsia" w:eastAsia="宋体"/>
          <w:b/>
          <w:sz w:val="28"/>
          <w:szCs w:val="22"/>
        </w:rPr>
        <w:t>第十一讲 数字化转型与预算绩效管理</w:t>
      </w:r>
    </w:p>
    <w:p>
      <w:pPr>
        <w:jc w:val="center"/>
        <w:rPr>
          <w:rFonts w:eastAsia="宋体"/>
          <w:b/>
          <w:sz w:val="28"/>
          <w:szCs w:val="22"/>
        </w:rPr>
      </w:pPr>
    </w:p>
    <w:p>
      <w:pPr>
        <w:ind w:firstLine="562"/>
        <w:jc w:val="left"/>
        <w:rPr>
          <w:rFonts w:eastAsia="宋体"/>
          <w:bCs/>
          <w:sz w:val="28"/>
          <w:szCs w:val="22"/>
        </w:rPr>
      </w:pPr>
      <w:r>
        <w:rPr>
          <w:rFonts w:hint="eastAsia" w:eastAsia="宋体"/>
          <w:bCs/>
          <w:sz w:val="28"/>
          <w:szCs w:val="22"/>
        </w:rPr>
        <w:t>本节由中国财政科学研究院科教文研究中心助理研究员周孝主讲，主要对绩效预算和数字化转型下的预算绩效管理进行概述和分析，并对政府数据开放共享展开剖析。</w:t>
      </w:r>
    </w:p>
    <w:p>
      <w:pPr>
        <w:ind w:firstLine="562"/>
        <w:jc w:val="left"/>
        <w:rPr>
          <w:rFonts w:eastAsia="宋体"/>
          <w:bCs/>
          <w:sz w:val="28"/>
          <w:szCs w:val="22"/>
        </w:rPr>
      </w:pPr>
      <w:r>
        <w:rPr>
          <w:rFonts w:hint="eastAsia" w:eastAsia="宋体"/>
          <w:bCs/>
          <w:sz w:val="28"/>
          <w:szCs w:val="22"/>
        </w:rPr>
        <w:t>绩效预算是指以结果为导向的预算管理方式，重点是将政府预算建立在可衡量的绩效基础上，以提高财政支出效率、改进公共服务质量。主要特征包括：以“结果”为导向、强调“成本核算”、体现“4E”原则、“放权”与“问责”相结合。绩效预算起源于西方国家，产生于经济压力与收支矛盾、政府信任危机和公众压力等历史背景之下。</w:t>
      </w:r>
    </w:p>
    <w:p>
      <w:pPr>
        <w:ind w:firstLine="562"/>
        <w:jc w:val="left"/>
        <w:rPr>
          <w:rFonts w:eastAsia="宋体"/>
          <w:bCs/>
          <w:sz w:val="28"/>
          <w:szCs w:val="22"/>
        </w:rPr>
      </w:pPr>
      <w:r>
        <w:rPr>
          <w:rFonts w:hint="eastAsia" w:eastAsia="宋体"/>
          <w:bCs/>
          <w:sz w:val="28"/>
          <w:szCs w:val="22"/>
        </w:rPr>
        <w:t>预算绩效管理是指以绩效目标的实现为导向，以绩效运行监控为保障，以绩效评价为手段，以结果应用为关键，以改进预算管理、优化资源配置、控制节约成本、提高公共产品质量和公共服务水平为目的的预算管理模式，本质仍是预算管理，核心是强化支出</w:t>
      </w:r>
      <w:r>
        <w:rPr>
          <w:rFonts w:eastAsia="宋体"/>
          <w:bCs/>
          <w:sz w:val="28"/>
          <w:szCs w:val="22"/>
        </w:rPr>
        <w:drawing>
          <wp:inline distT="0" distB="0" distL="0" distR="0">
            <wp:extent cx="5274310" cy="6221730"/>
            <wp:effectExtent l="0" t="0" r="2540" b="762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274310" cy="6221730"/>
                    </a:xfrm>
                    <a:prstGeom prst="rect">
                      <a:avLst/>
                    </a:prstGeom>
                    <a:noFill/>
                    <a:ln>
                      <a:noFill/>
                    </a:ln>
                  </pic:spPr>
                </pic:pic>
              </a:graphicData>
            </a:graphic>
          </wp:inline>
        </w:drawing>
      </w:r>
      <w:r>
        <w:rPr>
          <w:rFonts w:hint="eastAsia" w:eastAsia="宋体"/>
          <w:bCs/>
          <w:sz w:val="28"/>
          <w:szCs w:val="22"/>
        </w:rPr>
        <w:t>责任。预算绩效管理与绩效预算间存在着一定联系，但也在出发点、评价结果应用等方面存在着明显区别。</w:t>
      </w:r>
    </w:p>
    <w:p>
      <w:pPr>
        <w:ind w:firstLine="562"/>
        <w:jc w:val="left"/>
        <w:rPr>
          <w:rFonts w:eastAsia="宋体"/>
          <w:bCs/>
          <w:sz w:val="28"/>
          <w:szCs w:val="22"/>
        </w:rPr>
      </w:pPr>
      <w:r>
        <w:rPr>
          <w:rFonts w:hint="eastAsia" w:eastAsia="宋体"/>
          <w:bCs/>
          <w:sz w:val="28"/>
          <w:szCs w:val="22"/>
        </w:rPr>
        <w:t>数字化时代下，预算绩效管理加快推进，但面临的问题也同样突出。数字技术的快速发展和普及，为解决传统预算管理和绩效管理中存在的诸多问题提供了技术支撑，数字化转型为全面实施预算绩效管理创造了适宜条件。但与此同时，数字技术也全面冲击在传统工业时代所形成的一整套管理制度和规则体系。同时，政府的数字化程度和治理水平均远远落后于数字经济和数字社会的发展速度。在把握数字化转型的契机方面，预算绩效管理实践受到多重制约。</w:t>
      </w:r>
    </w:p>
    <w:p>
      <w:pPr>
        <w:ind w:firstLine="562"/>
        <w:jc w:val="left"/>
        <w:rPr>
          <w:rFonts w:eastAsia="宋体"/>
          <w:bCs/>
          <w:sz w:val="28"/>
          <w:szCs w:val="22"/>
        </w:rPr>
      </w:pPr>
      <w:r>
        <w:rPr>
          <w:rFonts w:hint="eastAsia" w:eastAsia="宋体"/>
          <w:bCs/>
          <w:sz w:val="28"/>
          <w:szCs w:val="22"/>
        </w:rPr>
        <w:t>总的来说，加快实现财政治理现代化，是推进国家治理体系和治理能力现代化的重要支撑。数字化时代，必须充分发挥政府数字化转型和预算绩效管理的基础性作用，有效提升财政治理的现代化水平。</w:t>
      </w:r>
    </w:p>
    <w:p>
      <w:pPr>
        <w:ind w:firstLine="562"/>
        <w:jc w:val="left"/>
        <w:rPr>
          <w:rFonts w:eastAsia="宋体"/>
          <w:bCs/>
          <w:sz w:val="28"/>
          <w:szCs w:val="22"/>
        </w:rPr>
      </w:pPr>
    </w:p>
    <w:p>
      <w:pPr>
        <w:jc w:val="center"/>
        <w:rPr>
          <w:rFonts w:eastAsia="宋体"/>
          <w:b/>
          <w:sz w:val="28"/>
          <w:szCs w:val="22"/>
        </w:rPr>
      </w:pPr>
      <w:r>
        <w:rPr>
          <w:rFonts w:hint="eastAsia" w:eastAsia="宋体"/>
          <w:b/>
          <w:sz w:val="28"/>
          <w:szCs w:val="22"/>
        </w:rPr>
        <w:t>第十二讲 线下购物便利度与居民网络购物</w:t>
      </w:r>
    </w:p>
    <w:p>
      <w:pPr>
        <w:ind w:firstLine="560" w:firstLineChars="200"/>
        <w:rPr>
          <w:rFonts w:eastAsia="宋体"/>
          <w:bCs/>
          <w:sz w:val="28"/>
          <w:szCs w:val="22"/>
        </w:rPr>
      </w:pPr>
      <w:r>
        <w:rPr>
          <w:rFonts w:hint="eastAsia" w:eastAsia="宋体"/>
          <w:bCs/>
          <w:sz w:val="28"/>
          <w:szCs w:val="22"/>
        </w:rPr>
        <w:t>本次讲座由中央财经大学中国互联网经济研究院副院长、博士生导师史宇鹏教授主讲，深入探讨了线下购物便利度与居民网络购物的关系，在此基础上，对数字经济时代下其他现实问题进行了探究：</w:t>
      </w:r>
    </w:p>
    <w:p>
      <w:pPr>
        <w:ind w:firstLine="560" w:firstLineChars="200"/>
        <w:rPr>
          <w:rFonts w:eastAsia="宋体"/>
          <w:bCs/>
          <w:sz w:val="28"/>
          <w:szCs w:val="22"/>
        </w:rPr>
      </w:pPr>
      <w:r>
        <w:rPr>
          <w:rFonts w:hint="eastAsia" w:eastAsia="宋体"/>
          <w:bCs/>
          <w:sz w:val="28"/>
          <w:szCs w:val="22"/>
        </w:rPr>
        <w:t>当前互联网经济发展迅速：2010-2020年，交易额由0.51-11.76,万亿，占比也从3%变为24.9%。与此同时，线下限额以上单位零售增长率大幅下降，且远低于网络零售率。在此背景下，网络购物与线下购物的替代效应和互补效应引起了广泛关注。</w:t>
      </w:r>
    </w:p>
    <w:p>
      <w:pPr>
        <w:ind w:firstLine="560" w:firstLineChars="200"/>
        <w:rPr>
          <w:rFonts w:eastAsia="宋体"/>
          <w:bCs/>
          <w:sz w:val="28"/>
          <w:szCs w:val="22"/>
        </w:rPr>
      </w:pPr>
      <w:r>
        <w:rPr>
          <w:rFonts w:hint="eastAsia" w:eastAsia="宋体"/>
          <w:bCs/>
          <w:sz w:val="28"/>
          <w:szCs w:val="22"/>
        </w:rPr>
        <w:t>居民网络购物的影响因素包括搜寻成本、价格、收入、个人消费观念等。一方面，网络购物可能会对线下购物产生替代效应，线下购物越远，消费者越有可能偏向网络购物；另一方面，网络购物有可能会改变购物倾向，发挥互补效应，从而出现线上线下共同发展、相互促进的现象。</w:t>
      </w:r>
    </w:p>
    <w:p>
      <w:pPr>
        <w:ind w:firstLine="560" w:firstLineChars="200"/>
        <w:rPr>
          <w:rFonts w:eastAsia="宋体"/>
          <w:bCs/>
          <w:sz w:val="28"/>
          <w:szCs w:val="22"/>
        </w:rPr>
      </w:pPr>
      <w:r>
        <w:rPr>
          <w:rFonts w:hint="eastAsia" w:eastAsia="宋体"/>
          <w:bCs/>
          <w:sz w:val="28"/>
          <w:szCs w:val="22"/>
        </w:rPr>
        <w:t>借助北大中国社会科学调查中心C</w:t>
      </w:r>
      <w:r>
        <w:rPr>
          <w:rFonts w:eastAsia="宋体"/>
          <w:bCs/>
          <w:sz w:val="28"/>
          <w:szCs w:val="22"/>
        </w:rPr>
        <w:t>FPS</w:t>
      </w:r>
      <w:r>
        <w:rPr>
          <w:rFonts w:hint="eastAsia" w:eastAsia="宋体"/>
          <w:bCs/>
          <w:sz w:val="28"/>
          <w:szCs w:val="22"/>
        </w:rPr>
        <w:t>数据库，研究对居民线下购物便利度与网络购物间的关系进行了实证分析。研究表明，其他条件不变时，便利度下降存在显著正向影响，即居民线下购物不便利促进了互联网经济在中国城市的发展，且这种影响存在明显的异质性，不同收入群体、不同年龄段、不同城市间有着明显差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DejaVu Sans">
    <w:altName w:val="Times New Roman"/>
    <w:panose1 w:val="00000000000000000000"/>
    <w:charset w:val="00"/>
    <w:family w:val="roman"/>
    <w:pitch w:val="default"/>
    <w:sig w:usb0="00000000" w:usb1="00000000" w:usb2="00000008" w:usb3="00000000" w:csb0="0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8F4838"/>
    <w:multiLevelType w:val="multilevel"/>
    <w:tmpl w:val="118F4838"/>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1">
    <w:nsid w:val="53BE61C6"/>
    <w:multiLevelType w:val="multilevel"/>
    <w:tmpl w:val="53BE61C6"/>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374F1C22"/>
    <w:rsid w:val="00027086"/>
    <w:rsid w:val="000A3891"/>
    <w:rsid w:val="000E4060"/>
    <w:rsid w:val="001839C8"/>
    <w:rsid w:val="001F2AD9"/>
    <w:rsid w:val="00235EF6"/>
    <w:rsid w:val="002740DA"/>
    <w:rsid w:val="00363263"/>
    <w:rsid w:val="00364B76"/>
    <w:rsid w:val="00396BAA"/>
    <w:rsid w:val="003A2625"/>
    <w:rsid w:val="003C1A92"/>
    <w:rsid w:val="00415A3A"/>
    <w:rsid w:val="00427E6D"/>
    <w:rsid w:val="004A0857"/>
    <w:rsid w:val="004C418A"/>
    <w:rsid w:val="004F4B41"/>
    <w:rsid w:val="00505FFB"/>
    <w:rsid w:val="005279BC"/>
    <w:rsid w:val="005527BA"/>
    <w:rsid w:val="0057341C"/>
    <w:rsid w:val="006214C9"/>
    <w:rsid w:val="0067607E"/>
    <w:rsid w:val="006870E7"/>
    <w:rsid w:val="006A2523"/>
    <w:rsid w:val="006B1630"/>
    <w:rsid w:val="0075395D"/>
    <w:rsid w:val="00795A28"/>
    <w:rsid w:val="008272BF"/>
    <w:rsid w:val="008A5B5B"/>
    <w:rsid w:val="008C3518"/>
    <w:rsid w:val="00921F75"/>
    <w:rsid w:val="00986AE9"/>
    <w:rsid w:val="009B3166"/>
    <w:rsid w:val="009F250F"/>
    <w:rsid w:val="00A122CE"/>
    <w:rsid w:val="00A63687"/>
    <w:rsid w:val="00C0411C"/>
    <w:rsid w:val="00C53650"/>
    <w:rsid w:val="00C90A5A"/>
    <w:rsid w:val="00CC5233"/>
    <w:rsid w:val="00D00752"/>
    <w:rsid w:val="00D25F89"/>
    <w:rsid w:val="00D268C3"/>
    <w:rsid w:val="00D3520D"/>
    <w:rsid w:val="00D54607"/>
    <w:rsid w:val="00DD0F90"/>
    <w:rsid w:val="00DE34A6"/>
    <w:rsid w:val="00E3608B"/>
    <w:rsid w:val="00E55717"/>
    <w:rsid w:val="00E63E1A"/>
    <w:rsid w:val="00E829A9"/>
    <w:rsid w:val="00E93DD3"/>
    <w:rsid w:val="00EB6451"/>
    <w:rsid w:val="00EF7EDB"/>
    <w:rsid w:val="00F423D9"/>
    <w:rsid w:val="00FA7995"/>
    <w:rsid w:val="00FC2EB6"/>
    <w:rsid w:val="00FC55A4"/>
    <w:rsid w:val="00FE5F9B"/>
    <w:rsid w:val="0B150EB3"/>
    <w:rsid w:val="1F7EC13B"/>
    <w:rsid w:val="374F1C22"/>
    <w:rsid w:val="3F796579"/>
    <w:rsid w:val="5FCE623C"/>
    <w:rsid w:val="61F3C896"/>
    <w:rsid w:val="65681ACF"/>
    <w:rsid w:val="7BDB3CFA"/>
    <w:rsid w:val="7CB397CA"/>
    <w:rsid w:val="7DCD0B1F"/>
    <w:rsid w:val="9BEA10FA"/>
    <w:rsid w:val="B7D32E3D"/>
    <w:rsid w:val="DD8136AD"/>
    <w:rsid w:val="EE7F1A96"/>
    <w:rsid w:val="EF353863"/>
    <w:rsid w:val="EFEFADF5"/>
    <w:rsid w:val="FFFF21A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jc w:val="center"/>
      <w:outlineLvl w:val="0"/>
    </w:pPr>
    <w:rPr>
      <w:rFonts w:eastAsiaTheme="majorEastAsia"/>
      <w:b/>
      <w:kern w:val="44"/>
      <w:sz w:val="28"/>
    </w:rPr>
  </w:style>
  <w:style w:type="paragraph" w:styleId="3">
    <w:name w:val="heading 2"/>
    <w:basedOn w:val="1"/>
    <w:next w:val="1"/>
    <w:link w:val="9"/>
    <w:unhideWhenUsed/>
    <w:qFormat/>
    <w:uiPriority w:val="0"/>
    <w:pPr>
      <w:keepNext/>
      <w:keepLines/>
      <w:spacing w:line="413" w:lineRule="auto"/>
      <w:jc w:val="center"/>
      <w:outlineLvl w:val="1"/>
    </w:pPr>
    <w:rPr>
      <w:rFonts w:ascii="DejaVu Sans" w:hAnsi="DejaVu Sans" w:eastAsiaTheme="majorEastAsia"/>
      <w:sz w:val="2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3"/>
    <w:semiHidden/>
    <w:unhideWhenUsed/>
    <w:qFormat/>
    <w:uiPriority w:val="0"/>
    <w:rPr>
      <w:sz w:val="18"/>
      <w:szCs w:val="18"/>
    </w:r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标题 2 Char"/>
    <w:link w:val="3"/>
    <w:qFormat/>
    <w:uiPriority w:val="0"/>
    <w:rPr>
      <w:rFonts w:ascii="DejaVu Sans" w:hAnsi="DejaVu Sans" w:eastAsiaTheme="majorEastAsia"/>
      <w:sz w:val="24"/>
    </w:rPr>
  </w:style>
  <w:style w:type="character" w:customStyle="1" w:styleId="10">
    <w:name w:val="页眉 Char"/>
    <w:basedOn w:val="8"/>
    <w:link w:val="6"/>
    <w:qFormat/>
    <w:uiPriority w:val="0"/>
    <w:rPr>
      <w:rFonts w:asciiTheme="minorHAnsi" w:hAnsiTheme="minorHAnsi" w:eastAsiaTheme="minorEastAsia" w:cstheme="minorBidi"/>
      <w:kern w:val="2"/>
      <w:sz w:val="18"/>
      <w:szCs w:val="18"/>
    </w:rPr>
  </w:style>
  <w:style w:type="character" w:customStyle="1" w:styleId="11">
    <w:name w:val="页脚 Char"/>
    <w:basedOn w:val="8"/>
    <w:link w:val="5"/>
    <w:qFormat/>
    <w:uiPriority w:val="0"/>
    <w:rPr>
      <w:rFonts w:asciiTheme="minorHAnsi" w:hAnsiTheme="minorHAnsi" w:eastAsiaTheme="minorEastAsia" w:cstheme="minorBidi"/>
      <w:kern w:val="2"/>
      <w:sz w:val="18"/>
      <w:szCs w:val="18"/>
    </w:rPr>
  </w:style>
  <w:style w:type="paragraph" w:styleId="12">
    <w:name w:val="List Paragraph"/>
    <w:basedOn w:val="1"/>
    <w:qFormat/>
    <w:uiPriority w:val="99"/>
    <w:pPr>
      <w:ind w:firstLine="420" w:firstLineChars="200"/>
    </w:pPr>
  </w:style>
  <w:style w:type="character" w:customStyle="1" w:styleId="13">
    <w:name w:val="批注框文本 Char"/>
    <w:basedOn w:val="8"/>
    <w:link w:val="4"/>
    <w:semiHidden/>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1028</Words>
  <Characters>5864</Characters>
  <Lines>48</Lines>
  <Paragraphs>13</Paragraphs>
  <TotalTime>7</TotalTime>
  <ScaleCrop>false</ScaleCrop>
  <LinksUpToDate>false</LinksUpToDate>
  <CharactersWithSpaces>6879</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2021-07-07T06:40:00Z</dcterms:created>
  <dc:creator>孟华泽</dc:creator>
  <cp:lastModifiedBy>赵琪</cp:lastModifiedBy>
  <dcterms:modified xsi:type="dcterms:W3CDTF">2021-07-09T08:42:40Z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3B2CDE082CA741C5BD7F60AAEA0F0D41</vt:lpwstr>
  </property>
</Properties>
</file>